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060"/>
        <w:gridCol w:w="4239"/>
      </w:tblGrid>
      <w:tr w:rsidR="00AD2065" w:rsidRPr="00245C55" w:rsidTr="00AB2EBB">
        <w:trPr>
          <w:trHeight w:val="915"/>
        </w:trPr>
        <w:tc>
          <w:tcPr>
            <w:tcW w:w="5644" w:type="dxa"/>
            <w:vAlign w:val="center"/>
          </w:tcPr>
          <w:p w:rsidR="00C943E5" w:rsidRPr="00245C55" w:rsidRDefault="00686008" w:rsidP="006231F0">
            <w:pPr>
              <w:pStyle w:val="stBilgi"/>
              <w:jc w:val="right"/>
              <w:rPr>
                <w:rFonts w:eastAsiaTheme="majorEastAsia" w:cs="Times New Roman"/>
                <w:sz w:val="36"/>
                <w:szCs w:val="36"/>
              </w:rPr>
            </w:pPr>
            <w:r w:rsidRPr="00245C55">
              <w:rPr>
                <w:rFonts w:eastAsiaTheme="majorEastAsia" w:cs="Times New Roman"/>
                <w:sz w:val="36"/>
                <w:szCs w:val="36"/>
              </w:rPr>
              <w:t>201</w:t>
            </w:r>
            <w:r w:rsidR="008F4366">
              <w:rPr>
                <w:rFonts w:eastAsiaTheme="majorEastAsia" w:cs="Times New Roman"/>
                <w:sz w:val="36"/>
                <w:szCs w:val="36"/>
              </w:rPr>
              <w:t>9</w:t>
            </w:r>
            <w:r w:rsidR="00AD2065" w:rsidRPr="00245C55">
              <w:rPr>
                <w:rFonts w:eastAsiaTheme="majorEastAsia" w:cs="Times New Roman"/>
                <w:sz w:val="36"/>
                <w:szCs w:val="36"/>
              </w:rPr>
              <w:t xml:space="preserve"> </w:t>
            </w:r>
            <w:r w:rsidR="008F4366">
              <w:rPr>
                <w:rFonts w:eastAsiaTheme="majorEastAsia" w:cs="Times New Roman"/>
                <w:sz w:val="36"/>
                <w:szCs w:val="36"/>
              </w:rPr>
              <w:t>I</w:t>
            </w:r>
            <w:r w:rsidR="000F1722">
              <w:rPr>
                <w:rFonts w:eastAsiaTheme="majorEastAsia" w:cs="Times New Roman"/>
                <w:sz w:val="36"/>
                <w:szCs w:val="36"/>
              </w:rPr>
              <w:t>I</w:t>
            </w:r>
            <w:r w:rsidR="00356EC9">
              <w:rPr>
                <w:rFonts w:eastAsiaTheme="majorEastAsia" w:cs="Times New Roman"/>
                <w:sz w:val="36"/>
                <w:szCs w:val="36"/>
              </w:rPr>
              <w:t>. Çeyrek</w:t>
            </w:r>
          </w:p>
          <w:p w:rsidR="00AD2065" w:rsidRPr="00245C55" w:rsidRDefault="00356EC9" w:rsidP="004D4775">
            <w:pPr>
              <w:pStyle w:val="stBilgi"/>
              <w:jc w:val="right"/>
              <w:rPr>
                <w:rFonts w:eastAsiaTheme="majorEastAsia" w:cs="Times New Roman"/>
                <w:sz w:val="36"/>
                <w:szCs w:val="36"/>
              </w:rPr>
            </w:pPr>
            <w:r w:rsidRPr="00356EC9">
              <w:rPr>
                <w:rFonts w:eastAsiaTheme="majorEastAsia" w:cs="Times New Roman"/>
                <w:sz w:val="36"/>
                <w:szCs w:val="36"/>
              </w:rPr>
              <w:t>G</w:t>
            </w:r>
            <w:r w:rsidR="004D4775">
              <w:rPr>
                <w:rFonts w:eastAsiaTheme="majorEastAsia" w:cs="Times New Roman"/>
                <w:sz w:val="36"/>
                <w:szCs w:val="36"/>
              </w:rPr>
              <w:t>SYH Değerleri</w:t>
            </w:r>
          </w:p>
        </w:tc>
        <w:tc>
          <w:tcPr>
            <w:tcW w:w="4678" w:type="dxa"/>
          </w:tcPr>
          <w:p w:rsidR="00AD2065" w:rsidRPr="00245C55" w:rsidRDefault="000F1722" w:rsidP="00FE2984">
            <w:pPr>
              <w:pStyle w:val="stBilgi"/>
              <w:spacing w:line="276" w:lineRule="auto"/>
              <w:jc w:val="center"/>
              <w:rPr>
                <w:rFonts w:eastAsiaTheme="majorEastAsia" w:cs="Times New Roman"/>
                <w:b/>
                <w:bCs/>
                <w:color w:val="4F81BD" w:themeColor="accent1"/>
                <w:sz w:val="36"/>
                <w:szCs w:val="36"/>
              </w:rPr>
            </w:pPr>
            <w:r>
              <w:rPr>
                <w:rFonts w:eastAsiaTheme="majorEastAsia" w:cs="Times New Roman"/>
                <w:bCs/>
                <w:sz w:val="28"/>
                <w:szCs w:val="36"/>
              </w:rPr>
              <w:t>02 Eylül</w:t>
            </w:r>
            <w:r w:rsidR="001524B1" w:rsidRPr="00245C55">
              <w:rPr>
                <w:rFonts w:eastAsiaTheme="majorEastAsia" w:cs="Times New Roman"/>
                <w:bCs/>
                <w:sz w:val="28"/>
                <w:szCs w:val="36"/>
              </w:rPr>
              <w:t xml:space="preserve"> </w:t>
            </w:r>
            <w:r w:rsidR="00AD2065" w:rsidRPr="00245C55">
              <w:rPr>
                <w:rFonts w:eastAsiaTheme="majorEastAsia" w:cs="Times New Roman"/>
                <w:bCs/>
                <w:sz w:val="28"/>
                <w:szCs w:val="36"/>
              </w:rPr>
              <w:t>201</w:t>
            </w:r>
            <w:r w:rsidR="003E7C4A">
              <w:rPr>
                <w:rFonts w:eastAsiaTheme="majorEastAsia" w:cs="Times New Roman"/>
                <w:bCs/>
                <w:sz w:val="28"/>
                <w:szCs w:val="36"/>
              </w:rPr>
              <w:t>9</w:t>
            </w:r>
            <w:r w:rsidR="00AD2065" w:rsidRPr="00245C55">
              <w:rPr>
                <w:rFonts w:eastAsiaTheme="majorEastAsia" w:cs="Times New Roman"/>
                <w:bCs/>
                <w:sz w:val="28"/>
                <w:szCs w:val="36"/>
              </w:rPr>
              <w:t xml:space="preserve">  </w:t>
            </w:r>
            <w:r w:rsidR="00AD2065" w:rsidRPr="00245C55">
              <w:rPr>
                <w:rFonts w:eastAsiaTheme="majorEastAsia" w:cs="Times New Roman"/>
                <w:b/>
                <w:bCs/>
                <w:noProof/>
                <w:color w:val="4F81BD" w:themeColor="accent1"/>
                <w:sz w:val="36"/>
                <w:szCs w:val="36"/>
              </w:rPr>
              <w:drawing>
                <wp:inline distT="0" distB="0" distL="0" distR="0" wp14:anchorId="6B8700E8" wp14:editId="353AAAB6">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sidRPr="00245C55">
              <w:rPr>
                <w:rFonts w:eastAsiaTheme="majorEastAsia" w:cs="Times New Roman"/>
                <w:bCs/>
                <w:sz w:val="28"/>
                <w:szCs w:val="36"/>
              </w:rPr>
              <w:t xml:space="preserve">    </w:t>
            </w:r>
            <w:r w:rsidR="00C86D2C" w:rsidRPr="00245C55">
              <w:rPr>
                <w:rFonts w:eastAsiaTheme="majorEastAsia" w:cs="Times New Roman"/>
                <w:bCs/>
                <w:sz w:val="28"/>
                <w:szCs w:val="36"/>
              </w:rPr>
              <w:t xml:space="preserve"> </w:t>
            </w:r>
            <w:r w:rsidR="00AD2065" w:rsidRPr="00245C55">
              <w:rPr>
                <w:rFonts w:eastAsiaTheme="majorEastAsia" w:cs="Times New Roman"/>
                <w:bCs/>
                <w:sz w:val="28"/>
                <w:szCs w:val="36"/>
              </w:rPr>
              <w:t xml:space="preserve">         </w:t>
            </w:r>
          </w:p>
        </w:tc>
      </w:tr>
    </w:tbl>
    <w:p w:rsidR="00AD2065" w:rsidRPr="00245C55" w:rsidRDefault="00AD2065" w:rsidP="00AD2065">
      <w:pPr>
        <w:pStyle w:val="stBilgi"/>
        <w:rPr>
          <w:rFonts w:cs="Times New Roman"/>
        </w:rPr>
      </w:pPr>
    </w:p>
    <w:p w:rsidR="00AD2065" w:rsidRPr="00134C18" w:rsidRDefault="00FE2984" w:rsidP="00134C18">
      <w:pPr>
        <w:rPr>
          <w:b/>
        </w:rPr>
      </w:pPr>
      <w:r w:rsidRPr="00134C18">
        <w:rPr>
          <w:b/>
        </w:rPr>
        <w:t>Gayrisafi Yurt İçi Hasıla</w:t>
      </w:r>
      <w:r w:rsidR="000C66EB" w:rsidRPr="00134C18">
        <w:rPr>
          <w:b/>
        </w:rPr>
        <w:t xml:space="preserve"> (GSYH)</w:t>
      </w:r>
      <w:r w:rsidRPr="00134C18">
        <w:rPr>
          <w:b/>
        </w:rPr>
        <w:t xml:space="preserve"> </w:t>
      </w:r>
      <w:r w:rsidR="000F1722">
        <w:rPr>
          <w:b/>
        </w:rPr>
        <w:t>ikinci</w:t>
      </w:r>
      <w:r w:rsidRPr="00134C18">
        <w:rPr>
          <w:b/>
        </w:rPr>
        <w:t xml:space="preserve"> çeyrek değerlerine</w:t>
      </w:r>
      <w:r w:rsidR="00EF4E45" w:rsidRPr="00134C18">
        <w:rPr>
          <w:b/>
        </w:rPr>
        <w:t xml:space="preserve"> ilişkin veriler Türkiye İstat</w:t>
      </w:r>
      <w:r w:rsidR="00445DB0" w:rsidRPr="00134C18">
        <w:rPr>
          <w:b/>
        </w:rPr>
        <w:t>istik Kurumu (TÜİK) tarafından</w:t>
      </w:r>
      <w:r w:rsidR="000B7D47" w:rsidRPr="00134C18">
        <w:rPr>
          <w:b/>
        </w:rPr>
        <w:t xml:space="preserve"> </w:t>
      </w:r>
      <w:r w:rsidR="000F1722">
        <w:rPr>
          <w:b/>
        </w:rPr>
        <w:t>02</w:t>
      </w:r>
      <w:r w:rsidR="00B00458" w:rsidRPr="00134C18">
        <w:rPr>
          <w:b/>
        </w:rPr>
        <w:t xml:space="preserve"> </w:t>
      </w:r>
      <w:r w:rsidR="000F1722">
        <w:rPr>
          <w:b/>
        </w:rPr>
        <w:t>Eylül</w:t>
      </w:r>
      <w:r w:rsidR="000C5BCA" w:rsidRPr="00134C18">
        <w:rPr>
          <w:b/>
        </w:rPr>
        <w:t xml:space="preserve"> </w:t>
      </w:r>
      <w:r w:rsidR="00817D01" w:rsidRPr="00134C18">
        <w:rPr>
          <w:b/>
        </w:rPr>
        <w:t>201</w:t>
      </w:r>
      <w:r w:rsidR="003E7C4A">
        <w:rPr>
          <w:b/>
        </w:rPr>
        <w:t>9</w:t>
      </w:r>
      <w:r w:rsidR="00EF4E45" w:rsidRPr="00134C18">
        <w:rPr>
          <w:b/>
        </w:rPr>
        <w:t xml:space="preserve"> tarihinde yayımlandı.</w:t>
      </w:r>
    </w:p>
    <w:p w:rsidR="006C7C68" w:rsidRDefault="000C66EB" w:rsidP="006C7C68">
      <w:r w:rsidRPr="00245C55">
        <w:t>TÜİK tarafından çeyreklik dönemlerde yayımlanan GSYH değerleri, Ulusal Hesaplar Sistemi’nde tahmin edilen temel büyüklüklerin en önemlisi ve odak noktasıdır. GSYH, bir ülkedeki belirli bir dönemde üretilen mal ve hizmetlerden dolayı oluşan katma değere ilişkin standart bir ölçü olarak değerlendirilebilir.</w:t>
      </w:r>
      <w:r w:rsidR="006C7C68">
        <w:t xml:space="preserve"> GSYH’nin üretimdeki değişiminin </w:t>
      </w:r>
      <w:r w:rsidR="006C7C68" w:rsidRPr="006C7C68">
        <w:t>daha sağlıklı ölçülebilmesi için enflasyon etkisinin arındırılmasıyla</w:t>
      </w:r>
      <w:r w:rsidR="006C7C68">
        <w:t xml:space="preserve"> z</w:t>
      </w:r>
      <w:r w:rsidR="006C7C68" w:rsidRPr="006C7C68">
        <w:t>incirlenmiş hacim endeks</w:t>
      </w:r>
      <w:r w:rsidR="006C7C68">
        <w:t>i hesaplanmaktadır.</w:t>
      </w:r>
    </w:p>
    <w:p w:rsidR="00EC183C" w:rsidRDefault="00EC183C" w:rsidP="00EC183C">
      <w:r>
        <w:t>Cari fiyatlarla hesaplamalarda; gerçek değişimlerle birlikte fiyat hareketleri de kapsanmaktadır. Yalnızca gerçek değişimlerin izlenebilmesi için fiyat değişikliklerinden gelen etkinin giderilmesi gerekmektedir. Zincirlenmiş hacim endeksleriyle elde edilen GSYH, bu etkiyi yok ederek; belli bir dönemde yer alan gerçek değişmeleri ölçmektedir.</w:t>
      </w:r>
      <w:r w:rsidR="00B17A67">
        <w:rPr>
          <w:rStyle w:val="DipnotBavurusu"/>
        </w:rPr>
        <w:footnoteReference w:id="1"/>
      </w:r>
    </w:p>
    <w:p w:rsidR="00EC183C" w:rsidRDefault="00EC183C" w:rsidP="00EC183C">
      <w:r>
        <w:t xml:space="preserve">Fiyat değişimlerinin etkisinden arındırılıp yalnızca gerçek değişimin ölçülmesi için ise fiyat yapısının güncel olması gerekmektedir. Ardışık iki yıl hesaplamalarında sabit bir yıldaki fiyatın kullanılmasının yerine önceki yılın fiyatları kullanılarak zincirlenmiş hacim endekslerine ulaşıldığında; fiyat değişimlerinden arındırma işlemi daha sağlıklı olmaktadır. </w:t>
      </w:r>
      <w:r w:rsidR="00E5243F">
        <w:t>Ancak zincirleme yöntemler kullanıldığı durumlarda göreli fiyatlar değiştiği için toplamsal olmama sorunu (nonadditivity problem) yöntemin bir dezavantajı olarak karşımıza çıkmaktadır.</w:t>
      </w:r>
      <w:r w:rsidR="006977BC">
        <w:rPr>
          <w:rStyle w:val="DipnotBavurusu"/>
        </w:rPr>
        <w:footnoteReference w:id="2"/>
      </w:r>
    </w:p>
    <w:p w:rsidR="00C03C5B" w:rsidRDefault="00AE466F" w:rsidP="00134C18">
      <w:r w:rsidRPr="00F52B20">
        <w:t xml:space="preserve">Tablo 1’de görüldüğü üzere GSYH zincirlenmiş hacim endeksinin (2009=100) bir önceki yılın aynı dönemine göre değişim oranı ile </w:t>
      </w:r>
      <w:r w:rsidR="008F4366" w:rsidRPr="00F52B20">
        <w:t>hesaplanan GSYH büyüme hızı</w:t>
      </w:r>
      <w:r w:rsidR="00C03C5B">
        <w:t>,</w:t>
      </w:r>
      <w:r w:rsidR="008F4366" w:rsidRPr="00F52B20">
        <w:t xml:space="preserve"> 2019’u</w:t>
      </w:r>
      <w:r w:rsidRPr="00F52B20">
        <w:t xml:space="preserve">n </w:t>
      </w:r>
      <w:r w:rsidR="00F21764">
        <w:t>ikinci</w:t>
      </w:r>
      <w:r w:rsidR="003E7C4A" w:rsidRPr="00F52B20">
        <w:t xml:space="preserve"> çeyreğinde yüzde </w:t>
      </w:r>
      <w:r w:rsidR="00F21764">
        <w:t>-1,5</w:t>
      </w:r>
      <w:r w:rsidRPr="00F52B20">
        <w:t xml:space="preserve"> </w:t>
      </w:r>
      <w:r w:rsidR="00183446" w:rsidRPr="00F52B20">
        <w:t>seviyesinde gerçekleşmiştir.</w:t>
      </w:r>
      <w:r w:rsidR="0008648D" w:rsidRPr="00F52B20">
        <w:t xml:space="preserve"> </w:t>
      </w:r>
      <w:r w:rsidR="00A00E7D" w:rsidRPr="00A00E7D">
        <w:t>Öte yandan endeks bir önceki çe</w:t>
      </w:r>
      <w:r w:rsidR="00F21764">
        <w:t>yreklik döneme (2019</w:t>
      </w:r>
      <w:r w:rsidR="00A00E7D">
        <w:t xml:space="preserve"> yılı </w:t>
      </w:r>
      <w:r w:rsidR="00F21764">
        <w:t>birinci</w:t>
      </w:r>
      <w:r w:rsidR="00A00E7D" w:rsidRPr="00A00E7D">
        <w:t xml:space="preserve"> çeyrek) göre ise yüzd</w:t>
      </w:r>
      <w:r w:rsidR="00A00E7D">
        <w:t xml:space="preserve">e </w:t>
      </w:r>
      <w:r w:rsidR="00F21764">
        <w:t>37,5</w:t>
      </w:r>
      <w:r w:rsidR="00A00E7D" w:rsidRPr="00A00E7D">
        <w:t xml:space="preserve"> düşüş göstermiştir. </w:t>
      </w:r>
      <w:r w:rsidR="00C03C5B" w:rsidRPr="00DD6A67">
        <w:t>GSYH</w:t>
      </w:r>
      <w:r w:rsidR="00C03C5B">
        <w:t xml:space="preserve"> 2019</w:t>
      </w:r>
      <w:r w:rsidR="00C03C5B" w:rsidRPr="00245C55">
        <w:t xml:space="preserve"> yılının </w:t>
      </w:r>
      <w:r w:rsidR="007A581F">
        <w:t>ikinci</w:t>
      </w:r>
      <w:r w:rsidR="00C03C5B" w:rsidRPr="00245C55">
        <w:t xml:space="preserve"> çeyreğinde</w:t>
      </w:r>
      <w:r w:rsidR="00C03C5B">
        <w:t>,</w:t>
      </w:r>
      <w:r w:rsidR="00C03C5B" w:rsidRPr="00245C55">
        <w:t xml:space="preserve"> geçen yılın aynı </w:t>
      </w:r>
      <w:r w:rsidR="00C03C5B">
        <w:t>dönemine</w:t>
      </w:r>
      <w:r w:rsidR="00C03C5B" w:rsidRPr="00245C55">
        <w:t xml:space="preserve"> göre yüzde </w:t>
      </w:r>
      <w:r w:rsidR="007A581F">
        <w:t>29,6</w:t>
      </w:r>
      <w:r w:rsidR="00C03C5B">
        <w:t xml:space="preserve"> artarken bir ö</w:t>
      </w:r>
      <w:r w:rsidR="007A581F">
        <w:t>nceki çeyreğe göre yüzde 11,2</w:t>
      </w:r>
      <w:r w:rsidR="00C03C5B">
        <w:t xml:space="preserve"> </w:t>
      </w:r>
      <w:r w:rsidR="007A581F">
        <w:t>artarak</w:t>
      </w:r>
      <w:r w:rsidR="00C03C5B">
        <w:t xml:space="preserve"> </w:t>
      </w:r>
      <w:r w:rsidR="007A581F" w:rsidRPr="007A581F">
        <w:t>1 trilyon 24 milyar 226</w:t>
      </w:r>
      <w:r w:rsidR="007A581F">
        <w:t xml:space="preserve"> </w:t>
      </w:r>
      <w:r w:rsidR="00C03C5B" w:rsidRPr="005D2846">
        <w:t>milyon TL değerini almıştır.</w:t>
      </w:r>
    </w:p>
    <w:p w:rsidR="00B40511" w:rsidRPr="00245C55" w:rsidRDefault="0085076A" w:rsidP="00134C18">
      <w:r w:rsidRPr="00A126EA">
        <w:t>GSYH’yi</w:t>
      </w:r>
      <w:r w:rsidR="00B40511" w:rsidRPr="00A126EA">
        <w:t xml:space="preserve"> oluşturan </w:t>
      </w:r>
      <w:r w:rsidR="008F4366" w:rsidRPr="00A126EA">
        <w:t>faaliyetler incelendiğinde; 2019</w:t>
      </w:r>
      <w:r w:rsidR="00B40511" w:rsidRPr="00A126EA">
        <w:t xml:space="preserve"> yılının </w:t>
      </w:r>
      <w:r w:rsidR="005D2846">
        <w:t>ikinci</w:t>
      </w:r>
      <w:r w:rsidR="00B40511" w:rsidRPr="00A126EA">
        <w:t xml:space="preserve"> çeyreğinde bir önceki yılın aynı çeyreğine göre zincirlenmiş hacim endeksi olarak; tarım sektörü toplam katma değeri yüzde </w:t>
      </w:r>
      <w:r w:rsidR="005D2846">
        <w:t>3,4</w:t>
      </w:r>
      <w:r w:rsidR="00A126EA" w:rsidRPr="00A126EA">
        <w:t xml:space="preserve"> artarken</w:t>
      </w:r>
      <w:r w:rsidR="00650344" w:rsidRPr="00A126EA">
        <w:t xml:space="preserve"> sanayi sektörü</w:t>
      </w:r>
      <w:r w:rsidR="00F90F4B" w:rsidRPr="00A126EA">
        <w:t>nün katma değeri ise</w:t>
      </w:r>
      <w:r w:rsidR="00650344" w:rsidRPr="00A126EA">
        <w:t xml:space="preserve"> yüzde </w:t>
      </w:r>
      <w:r w:rsidR="005D2846">
        <w:t>2,7</w:t>
      </w:r>
      <w:r w:rsidR="00A126EA" w:rsidRPr="00A126EA">
        <w:t xml:space="preserve"> ve </w:t>
      </w:r>
      <w:r w:rsidR="00650344" w:rsidRPr="00A126EA">
        <w:t>inşaat sektörü</w:t>
      </w:r>
      <w:r w:rsidR="00F90F4B" w:rsidRPr="00A126EA">
        <w:t>nün katma değeri</w:t>
      </w:r>
      <w:r w:rsidR="00650344" w:rsidRPr="00A126EA">
        <w:t xml:space="preserve"> yüzde </w:t>
      </w:r>
      <w:r w:rsidR="005D2846">
        <w:t>12,7</w:t>
      </w:r>
      <w:r w:rsidR="00B40511" w:rsidRPr="00A126EA">
        <w:t xml:space="preserve"> azal</w:t>
      </w:r>
      <w:r w:rsidR="00CC4B31" w:rsidRPr="00A126EA">
        <w:t>mıştır</w:t>
      </w:r>
      <w:r w:rsidR="00B40511" w:rsidRPr="00A126EA">
        <w:t>. Ticaret, ulaştırma, konaklama ve yiyecek hizmeti faaliyetlerinin toplamından oluşan hizmetler sektö</w:t>
      </w:r>
      <w:r w:rsidR="00650344" w:rsidRPr="00A126EA">
        <w:t xml:space="preserve">rünün katma değeri ise yüzde </w:t>
      </w:r>
      <w:r w:rsidR="005D2846">
        <w:t>0,3</w:t>
      </w:r>
      <w:r w:rsidR="00A126EA" w:rsidRPr="00A126EA">
        <w:t xml:space="preserve"> azalmıştı</w:t>
      </w:r>
      <w:r w:rsidR="00CC4B31" w:rsidRPr="00A126EA">
        <w:t>r</w:t>
      </w:r>
      <w:r w:rsidR="00A126EA" w:rsidRPr="00A126EA">
        <w:t>.</w:t>
      </w:r>
      <w:r w:rsidR="00245C55" w:rsidRPr="00A126EA">
        <w:t xml:space="preserve"> (Tablo </w:t>
      </w:r>
      <w:r w:rsidR="00115460" w:rsidRPr="00A126EA">
        <w:t>3</w:t>
      </w:r>
      <w:r w:rsidR="00245C55" w:rsidRPr="00A126EA">
        <w:t>).</w:t>
      </w:r>
    </w:p>
    <w:p w:rsidR="00B922F7" w:rsidRPr="00245C55" w:rsidRDefault="001C20F2" w:rsidP="006977BC">
      <w:pPr>
        <w:pStyle w:val="rresim"/>
        <w:jc w:val="left"/>
        <w:rPr>
          <w:rFonts w:cs="Times New Roman"/>
          <w:sz w:val="14"/>
          <w:szCs w:val="14"/>
        </w:rPr>
      </w:pPr>
      <w:r w:rsidRPr="00870185">
        <w:lastRenderedPageBreak/>
        <w:t xml:space="preserve">Tablo 1: </w:t>
      </w:r>
      <w:r w:rsidR="00530076" w:rsidRPr="00870185">
        <w:t>Gayrisa</w:t>
      </w:r>
      <w:r w:rsidR="00735E1C">
        <w:t xml:space="preserve">fi Yurtiçi Hasıla Sonuçları, </w:t>
      </w:r>
      <w:r w:rsidR="00793755">
        <w:t>2018</w:t>
      </w:r>
      <w:r w:rsidR="00D77FD3">
        <w:t>-</w:t>
      </w:r>
      <w:r w:rsidR="00793755">
        <w:t>2019</w:t>
      </w:r>
    </w:p>
    <w:tbl>
      <w:tblPr>
        <w:tblW w:w="9293" w:type="dxa"/>
        <w:tblInd w:w="75" w:type="dxa"/>
        <w:tblCellMar>
          <w:left w:w="70" w:type="dxa"/>
          <w:right w:w="70" w:type="dxa"/>
        </w:tblCellMar>
        <w:tblLook w:val="04A0" w:firstRow="1" w:lastRow="0" w:firstColumn="1" w:lastColumn="0" w:noHBand="0" w:noVBand="1"/>
      </w:tblPr>
      <w:tblGrid>
        <w:gridCol w:w="1239"/>
        <w:gridCol w:w="1239"/>
        <w:gridCol w:w="1755"/>
        <w:gridCol w:w="1755"/>
        <w:gridCol w:w="1859"/>
        <w:gridCol w:w="1446"/>
      </w:tblGrid>
      <w:tr w:rsidR="00D30502" w:rsidRPr="00D30502" w:rsidTr="00791F58">
        <w:trPr>
          <w:trHeight w:val="1329"/>
        </w:trPr>
        <w:tc>
          <w:tcPr>
            <w:tcW w:w="1239" w:type="dxa"/>
            <w:tcBorders>
              <w:top w:val="single" w:sz="4" w:space="0" w:color="FFFFFF"/>
              <w:left w:val="single" w:sz="4" w:space="0" w:color="FFFFFF"/>
              <w:bottom w:val="single" w:sz="4" w:space="0" w:color="FFFFFF"/>
              <w:right w:val="single" w:sz="4" w:space="0" w:color="FFFFFF"/>
            </w:tcBorders>
            <w:shd w:val="clear" w:color="000000" w:fill="1F497D"/>
            <w:noWrap/>
            <w:vAlign w:val="center"/>
            <w:hideMark/>
          </w:tcPr>
          <w:p w:rsidR="00D30502" w:rsidRPr="00D30502" w:rsidRDefault="00D30502" w:rsidP="00D30502">
            <w:pPr>
              <w:spacing w:after="0" w:line="240" w:lineRule="auto"/>
              <w:jc w:val="center"/>
              <w:rPr>
                <w:rFonts w:eastAsia="Times New Roman" w:cs="Times New Roman"/>
                <w:b/>
                <w:bCs/>
                <w:color w:val="FFFFFF"/>
                <w:sz w:val="22"/>
              </w:rPr>
            </w:pPr>
            <w:r w:rsidRPr="00D30502">
              <w:rPr>
                <w:rFonts w:eastAsia="Times New Roman" w:cs="Times New Roman"/>
                <w:b/>
                <w:bCs/>
                <w:color w:val="FFFFFF"/>
                <w:sz w:val="22"/>
              </w:rPr>
              <w:t>Yıl</w:t>
            </w:r>
          </w:p>
        </w:tc>
        <w:tc>
          <w:tcPr>
            <w:tcW w:w="1239" w:type="dxa"/>
            <w:tcBorders>
              <w:top w:val="single" w:sz="4" w:space="0" w:color="FFFFFF"/>
              <w:left w:val="nil"/>
              <w:bottom w:val="single" w:sz="4" w:space="0" w:color="FFFFFF"/>
              <w:right w:val="single" w:sz="4" w:space="0" w:color="FFFFFF"/>
            </w:tcBorders>
            <w:shd w:val="clear" w:color="000000" w:fill="1F497D"/>
            <w:noWrap/>
            <w:vAlign w:val="center"/>
            <w:hideMark/>
          </w:tcPr>
          <w:p w:rsidR="00D30502" w:rsidRPr="00D30502" w:rsidRDefault="00D30502" w:rsidP="00D30502">
            <w:pPr>
              <w:spacing w:after="0" w:line="240" w:lineRule="auto"/>
              <w:jc w:val="center"/>
              <w:rPr>
                <w:rFonts w:eastAsia="Times New Roman" w:cs="Times New Roman"/>
                <w:b/>
                <w:bCs/>
                <w:color w:val="FFFFFF"/>
                <w:sz w:val="22"/>
              </w:rPr>
            </w:pPr>
            <w:r w:rsidRPr="00D30502">
              <w:rPr>
                <w:rFonts w:eastAsia="Times New Roman" w:cs="Times New Roman"/>
                <w:b/>
                <w:bCs/>
                <w:color w:val="FFFFFF"/>
                <w:sz w:val="22"/>
              </w:rPr>
              <w:t>Çeyrek</w:t>
            </w:r>
          </w:p>
        </w:tc>
        <w:tc>
          <w:tcPr>
            <w:tcW w:w="1755" w:type="dxa"/>
            <w:tcBorders>
              <w:top w:val="single" w:sz="4" w:space="0" w:color="FFFFFF"/>
              <w:left w:val="nil"/>
              <w:bottom w:val="single" w:sz="4" w:space="0" w:color="FFFFFF"/>
              <w:right w:val="single" w:sz="4" w:space="0" w:color="FFFFFF"/>
            </w:tcBorders>
            <w:shd w:val="clear" w:color="000000" w:fill="1F497D"/>
            <w:vAlign w:val="center"/>
            <w:hideMark/>
          </w:tcPr>
          <w:p w:rsidR="00D30502" w:rsidRPr="00D30502" w:rsidRDefault="00D30502" w:rsidP="00D30502">
            <w:pPr>
              <w:spacing w:after="0" w:line="240" w:lineRule="auto"/>
              <w:jc w:val="center"/>
              <w:rPr>
                <w:rFonts w:eastAsia="Times New Roman" w:cs="Times New Roman"/>
                <w:b/>
                <w:bCs/>
                <w:color w:val="FFFFFF"/>
                <w:sz w:val="22"/>
              </w:rPr>
            </w:pPr>
            <w:r w:rsidRPr="00D30502">
              <w:rPr>
                <w:rFonts w:eastAsia="Times New Roman" w:cs="Times New Roman"/>
                <w:b/>
                <w:bCs/>
                <w:color w:val="FFFFFF"/>
                <w:sz w:val="22"/>
              </w:rPr>
              <w:t>Cari fiyatlarla (Milyar TL)</w:t>
            </w:r>
          </w:p>
        </w:tc>
        <w:tc>
          <w:tcPr>
            <w:tcW w:w="1755" w:type="dxa"/>
            <w:tcBorders>
              <w:top w:val="single" w:sz="4" w:space="0" w:color="FFFFFF"/>
              <w:left w:val="nil"/>
              <w:bottom w:val="single" w:sz="4" w:space="0" w:color="FFFFFF"/>
              <w:right w:val="single" w:sz="4" w:space="0" w:color="FFFFFF"/>
            </w:tcBorders>
            <w:shd w:val="clear" w:color="000000" w:fill="1F497D"/>
            <w:vAlign w:val="center"/>
            <w:hideMark/>
          </w:tcPr>
          <w:p w:rsidR="00D30502" w:rsidRPr="00D30502" w:rsidRDefault="00D30502" w:rsidP="00D30502">
            <w:pPr>
              <w:spacing w:after="0" w:line="240" w:lineRule="auto"/>
              <w:jc w:val="center"/>
              <w:rPr>
                <w:rFonts w:eastAsia="Times New Roman" w:cs="Times New Roman"/>
                <w:b/>
                <w:bCs/>
                <w:color w:val="FFFFFF"/>
                <w:sz w:val="22"/>
              </w:rPr>
            </w:pPr>
            <w:r w:rsidRPr="00D30502">
              <w:rPr>
                <w:rFonts w:eastAsia="Times New Roman" w:cs="Times New Roman"/>
                <w:b/>
                <w:bCs/>
                <w:color w:val="FFFFFF"/>
                <w:sz w:val="22"/>
              </w:rPr>
              <w:t>Cari fiyatlarla (Milyar $)</w:t>
            </w:r>
          </w:p>
        </w:tc>
        <w:tc>
          <w:tcPr>
            <w:tcW w:w="1859" w:type="dxa"/>
            <w:tcBorders>
              <w:top w:val="single" w:sz="4" w:space="0" w:color="FFFFFF"/>
              <w:left w:val="nil"/>
              <w:bottom w:val="single" w:sz="4" w:space="0" w:color="FFFFFF"/>
              <w:right w:val="single" w:sz="4" w:space="0" w:color="FFFFFF"/>
            </w:tcBorders>
            <w:shd w:val="clear" w:color="000000" w:fill="1F497D"/>
            <w:vAlign w:val="center"/>
            <w:hideMark/>
          </w:tcPr>
          <w:p w:rsidR="00D30502" w:rsidRPr="00D30502" w:rsidRDefault="00D30502" w:rsidP="00D30502">
            <w:pPr>
              <w:spacing w:after="0" w:line="240" w:lineRule="auto"/>
              <w:jc w:val="center"/>
              <w:rPr>
                <w:rFonts w:eastAsia="Times New Roman" w:cs="Times New Roman"/>
                <w:b/>
                <w:bCs/>
                <w:color w:val="FFFFFF"/>
                <w:sz w:val="22"/>
              </w:rPr>
            </w:pPr>
            <w:r w:rsidRPr="00D30502">
              <w:rPr>
                <w:rFonts w:eastAsia="Times New Roman" w:cs="Times New Roman"/>
                <w:b/>
                <w:bCs/>
                <w:color w:val="FFFFFF"/>
                <w:sz w:val="22"/>
              </w:rPr>
              <w:t>Zincirlenmiş hacim endeksi (2009=100)</w:t>
            </w:r>
          </w:p>
        </w:tc>
        <w:tc>
          <w:tcPr>
            <w:tcW w:w="1446" w:type="dxa"/>
            <w:tcBorders>
              <w:top w:val="single" w:sz="4" w:space="0" w:color="FFFFFF"/>
              <w:left w:val="nil"/>
              <w:bottom w:val="single" w:sz="4" w:space="0" w:color="FFFFFF"/>
              <w:right w:val="single" w:sz="4" w:space="0" w:color="FFFFFF"/>
            </w:tcBorders>
            <w:shd w:val="clear" w:color="000000" w:fill="1F497D"/>
            <w:vAlign w:val="center"/>
            <w:hideMark/>
          </w:tcPr>
          <w:p w:rsidR="00D30502" w:rsidRPr="00D30502" w:rsidRDefault="00D30502" w:rsidP="00D30502">
            <w:pPr>
              <w:spacing w:after="0" w:line="240" w:lineRule="auto"/>
              <w:jc w:val="center"/>
              <w:rPr>
                <w:rFonts w:eastAsia="Times New Roman" w:cs="Times New Roman"/>
                <w:b/>
                <w:bCs/>
                <w:color w:val="FFFFFF"/>
                <w:sz w:val="22"/>
              </w:rPr>
            </w:pPr>
            <w:r w:rsidRPr="00D30502">
              <w:rPr>
                <w:rFonts w:eastAsia="Times New Roman" w:cs="Times New Roman"/>
                <w:b/>
                <w:bCs/>
                <w:color w:val="FFFFFF"/>
                <w:sz w:val="22"/>
              </w:rPr>
              <w:t>Endeks değişim oranı* (%)</w:t>
            </w:r>
          </w:p>
        </w:tc>
      </w:tr>
      <w:tr w:rsidR="00D30502" w:rsidRPr="00D30502" w:rsidTr="00791F58">
        <w:trPr>
          <w:trHeight w:val="349"/>
        </w:trPr>
        <w:tc>
          <w:tcPr>
            <w:tcW w:w="1239" w:type="dxa"/>
            <w:vMerge w:val="restart"/>
            <w:tcBorders>
              <w:top w:val="nil"/>
              <w:left w:val="nil"/>
              <w:bottom w:val="single" w:sz="4" w:space="0" w:color="FFFFFF"/>
              <w:right w:val="single" w:sz="4" w:space="0" w:color="FFFFFF"/>
            </w:tcBorders>
            <w:shd w:val="clear" w:color="000000" w:fill="1F497D"/>
            <w:noWrap/>
            <w:vAlign w:val="center"/>
            <w:hideMark/>
          </w:tcPr>
          <w:p w:rsidR="00D30502" w:rsidRPr="00D30502" w:rsidRDefault="00D30502" w:rsidP="00D30502">
            <w:pPr>
              <w:spacing w:after="0" w:line="240" w:lineRule="auto"/>
              <w:jc w:val="center"/>
              <w:rPr>
                <w:rFonts w:eastAsia="Times New Roman" w:cs="Times New Roman"/>
                <w:b/>
                <w:bCs/>
                <w:color w:val="FFFFFF"/>
                <w:sz w:val="22"/>
              </w:rPr>
            </w:pPr>
            <w:r w:rsidRPr="00D30502">
              <w:rPr>
                <w:rFonts w:eastAsia="Times New Roman" w:cs="Times New Roman"/>
                <w:b/>
                <w:bCs/>
                <w:color w:val="FFFFFF"/>
                <w:sz w:val="22"/>
              </w:rPr>
              <w:t>2018</w:t>
            </w:r>
          </w:p>
        </w:tc>
        <w:tc>
          <w:tcPr>
            <w:tcW w:w="1239" w:type="dxa"/>
            <w:tcBorders>
              <w:top w:val="nil"/>
              <w:left w:val="nil"/>
              <w:bottom w:val="single" w:sz="4" w:space="0" w:color="FFFFFF"/>
              <w:right w:val="single" w:sz="4" w:space="0" w:color="FFFFFF"/>
            </w:tcBorders>
            <w:shd w:val="clear" w:color="000000" w:fill="95B3D7"/>
            <w:noWrap/>
            <w:vAlign w:val="center"/>
            <w:hideMark/>
          </w:tcPr>
          <w:p w:rsidR="00D30502" w:rsidRPr="00D30502" w:rsidRDefault="00D30502" w:rsidP="00D30502">
            <w:pPr>
              <w:spacing w:after="0" w:line="240" w:lineRule="auto"/>
              <w:jc w:val="center"/>
              <w:rPr>
                <w:rFonts w:eastAsia="Times New Roman" w:cs="Times New Roman"/>
                <w:b/>
                <w:bCs/>
                <w:color w:val="FFFFFF"/>
                <w:sz w:val="22"/>
              </w:rPr>
            </w:pPr>
            <w:r w:rsidRPr="00D30502">
              <w:rPr>
                <w:rFonts w:eastAsia="Times New Roman" w:cs="Times New Roman"/>
                <w:b/>
                <w:bCs/>
                <w:color w:val="FFFFFF"/>
                <w:sz w:val="22"/>
              </w:rPr>
              <w:t>I</w:t>
            </w:r>
          </w:p>
        </w:tc>
        <w:tc>
          <w:tcPr>
            <w:tcW w:w="1755" w:type="dxa"/>
            <w:tcBorders>
              <w:top w:val="nil"/>
              <w:left w:val="nil"/>
              <w:bottom w:val="single" w:sz="4" w:space="0" w:color="auto"/>
              <w:right w:val="single" w:sz="4" w:space="0" w:color="auto"/>
            </w:tcBorders>
            <w:shd w:val="clear" w:color="000000" w:fill="DCE6F1"/>
            <w:noWrap/>
            <w:vAlign w:val="bottom"/>
            <w:hideMark/>
          </w:tcPr>
          <w:p w:rsidR="00D30502" w:rsidRPr="00D30502" w:rsidRDefault="00D30502" w:rsidP="00D30502">
            <w:pPr>
              <w:spacing w:after="0" w:line="240" w:lineRule="auto"/>
              <w:jc w:val="center"/>
              <w:rPr>
                <w:rFonts w:eastAsia="Times New Roman" w:cs="Times New Roman"/>
                <w:color w:val="000000"/>
                <w:sz w:val="22"/>
              </w:rPr>
            </w:pPr>
            <w:r w:rsidRPr="00D30502">
              <w:rPr>
                <w:rFonts w:eastAsia="Times New Roman" w:cs="Times New Roman"/>
                <w:color w:val="000000"/>
                <w:sz w:val="22"/>
              </w:rPr>
              <w:t>790</w:t>
            </w:r>
          </w:p>
        </w:tc>
        <w:tc>
          <w:tcPr>
            <w:tcW w:w="1755" w:type="dxa"/>
            <w:tcBorders>
              <w:top w:val="nil"/>
              <w:left w:val="nil"/>
              <w:bottom w:val="single" w:sz="4" w:space="0" w:color="auto"/>
              <w:right w:val="single" w:sz="4" w:space="0" w:color="auto"/>
            </w:tcBorders>
            <w:shd w:val="clear" w:color="000000" w:fill="DCE6F1"/>
            <w:noWrap/>
            <w:vAlign w:val="bottom"/>
            <w:hideMark/>
          </w:tcPr>
          <w:p w:rsidR="00D30502" w:rsidRPr="00D30502" w:rsidRDefault="00D30502" w:rsidP="00D30502">
            <w:pPr>
              <w:spacing w:after="0" w:line="240" w:lineRule="auto"/>
              <w:jc w:val="center"/>
              <w:rPr>
                <w:rFonts w:eastAsia="Times New Roman" w:cs="Times New Roman"/>
                <w:color w:val="000000"/>
                <w:sz w:val="22"/>
              </w:rPr>
            </w:pPr>
            <w:r w:rsidRPr="00D30502">
              <w:rPr>
                <w:rFonts w:eastAsia="Times New Roman" w:cs="Times New Roman"/>
                <w:color w:val="000000"/>
                <w:sz w:val="22"/>
              </w:rPr>
              <w:t>207</w:t>
            </w:r>
          </w:p>
        </w:tc>
        <w:tc>
          <w:tcPr>
            <w:tcW w:w="1859" w:type="dxa"/>
            <w:tcBorders>
              <w:top w:val="nil"/>
              <w:left w:val="nil"/>
              <w:bottom w:val="single" w:sz="4" w:space="0" w:color="auto"/>
              <w:right w:val="single" w:sz="4" w:space="0" w:color="auto"/>
            </w:tcBorders>
            <w:shd w:val="clear" w:color="000000" w:fill="DCE6F1"/>
            <w:noWrap/>
            <w:vAlign w:val="bottom"/>
            <w:hideMark/>
          </w:tcPr>
          <w:p w:rsidR="00D30502" w:rsidRPr="00D30502" w:rsidRDefault="00D30502" w:rsidP="00D30502">
            <w:pPr>
              <w:spacing w:after="0" w:line="240" w:lineRule="auto"/>
              <w:jc w:val="center"/>
              <w:rPr>
                <w:rFonts w:eastAsia="Times New Roman" w:cs="Times New Roman"/>
                <w:color w:val="000000"/>
                <w:sz w:val="22"/>
              </w:rPr>
            </w:pPr>
            <w:r w:rsidRPr="00D30502">
              <w:rPr>
                <w:rFonts w:eastAsia="Times New Roman" w:cs="Times New Roman"/>
                <w:color w:val="000000"/>
                <w:sz w:val="22"/>
              </w:rPr>
              <w:t>158,5</w:t>
            </w:r>
          </w:p>
        </w:tc>
        <w:tc>
          <w:tcPr>
            <w:tcW w:w="1446" w:type="dxa"/>
            <w:tcBorders>
              <w:top w:val="nil"/>
              <w:left w:val="nil"/>
              <w:bottom w:val="single" w:sz="4" w:space="0" w:color="auto"/>
              <w:right w:val="single" w:sz="4" w:space="0" w:color="auto"/>
            </w:tcBorders>
            <w:shd w:val="clear" w:color="000000" w:fill="DCE6F1"/>
            <w:noWrap/>
            <w:vAlign w:val="bottom"/>
            <w:hideMark/>
          </w:tcPr>
          <w:p w:rsidR="00D30502" w:rsidRPr="00D30502" w:rsidRDefault="00D30502" w:rsidP="00D30502">
            <w:pPr>
              <w:spacing w:after="0" w:line="240" w:lineRule="auto"/>
              <w:jc w:val="center"/>
              <w:rPr>
                <w:rFonts w:eastAsia="Times New Roman" w:cs="Times New Roman"/>
                <w:color w:val="000000"/>
                <w:sz w:val="22"/>
              </w:rPr>
            </w:pPr>
            <w:r w:rsidRPr="00D30502">
              <w:rPr>
                <w:rFonts w:eastAsia="Times New Roman" w:cs="Times New Roman"/>
                <w:color w:val="000000"/>
                <w:sz w:val="22"/>
              </w:rPr>
              <w:t>7,4</w:t>
            </w:r>
          </w:p>
        </w:tc>
      </w:tr>
      <w:tr w:rsidR="00D30502" w:rsidRPr="00D30502" w:rsidTr="00791F58">
        <w:trPr>
          <w:trHeight w:val="349"/>
        </w:trPr>
        <w:tc>
          <w:tcPr>
            <w:tcW w:w="1239" w:type="dxa"/>
            <w:vMerge/>
            <w:tcBorders>
              <w:top w:val="nil"/>
              <w:left w:val="nil"/>
              <w:bottom w:val="single" w:sz="4" w:space="0" w:color="FFFFFF"/>
              <w:right w:val="single" w:sz="4" w:space="0" w:color="FFFFFF"/>
            </w:tcBorders>
            <w:vAlign w:val="center"/>
            <w:hideMark/>
          </w:tcPr>
          <w:p w:rsidR="00D30502" w:rsidRPr="00D30502" w:rsidRDefault="00D30502" w:rsidP="00D30502">
            <w:pPr>
              <w:spacing w:after="0" w:line="240" w:lineRule="auto"/>
              <w:jc w:val="left"/>
              <w:rPr>
                <w:rFonts w:eastAsia="Times New Roman" w:cs="Times New Roman"/>
                <w:b/>
                <w:bCs/>
                <w:color w:val="FFFFFF"/>
                <w:sz w:val="22"/>
              </w:rPr>
            </w:pPr>
          </w:p>
        </w:tc>
        <w:tc>
          <w:tcPr>
            <w:tcW w:w="1239" w:type="dxa"/>
            <w:tcBorders>
              <w:top w:val="nil"/>
              <w:left w:val="nil"/>
              <w:bottom w:val="single" w:sz="4" w:space="0" w:color="FFFFFF"/>
              <w:right w:val="single" w:sz="4" w:space="0" w:color="FFFFFF"/>
            </w:tcBorders>
            <w:shd w:val="clear" w:color="000000" w:fill="95B3D7"/>
            <w:noWrap/>
            <w:vAlign w:val="center"/>
            <w:hideMark/>
          </w:tcPr>
          <w:p w:rsidR="00D30502" w:rsidRPr="00D30502" w:rsidRDefault="00D30502" w:rsidP="00D30502">
            <w:pPr>
              <w:spacing w:after="0" w:line="240" w:lineRule="auto"/>
              <w:jc w:val="center"/>
              <w:rPr>
                <w:rFonts w:eastAsia="Times New Roman" w:cs="Times New Roman"/>
                <w:b/>
                <w:bCs/>
                <w:color w:val="FFFFFF"/>
                <w:sz w:val="22"/>
              </w:rPr>
            </w:pPr>
            <w:r w:rsidRPr="00D30502">
              <w:rPr>
                <w:rFonts w:eastAsia="Times New Roman" w:cs="Times New Roman"/>
                <w:b/>
                <w:bCs/>
                <w:color w:val="FFFFFF"/>
                <w:sz w:val="22"/>
              </w:rPr>
              <w:t>II</w:t>
            </w:r>
          </w:p>
        </w:tc>
        <w:tc>
          <w:tcPr>
            <w:tcW w:w="1755" w:type="dxa"/>
            <w:tcBorders>
              <w:top w:val="nil"/>
              <w:left w:val="nil"/>
              <w:bottom w:val="single" w:sz="4" w:space="0" w:color="auto"/>
              <w:right w:val="single" w:sz="4" w:space="0" w:color="auto"/>
            </w:tcBorders>
            <w:shd w:val="clear" w:color="000000" w:fill="DCE6F1"/>
            <w:noWrap/>
            <w:vAlign w:val="bottom"/>
            <w:hideMark/>
          </w:tcPr>
          <w:p w:rsidR="00D30502" w:rsidRPr="00D30502" w:rsidRDefault="00D30502" w:rsidP="00D30502">
            <w:pPr>
              <w:spacing w:after="0" w:line="240" w:lineRule="auto"/>
              <w:jc w:val="center"/>
              <w:rPr>
                <w:rFonts w:eastAsia="Times New Roman" w:cs="Times New Roman"/>
                <w:color w:val="000000"/>
                <w:sz w:val="22"/>
              </w:rPr>
            </w:pPr>
            <w:r w:rsidRPr="00D30502">
              <w:rPr>
                <w:rFonts w:eastAsia="Times New Roman" w:cs="Times New Roman"/>
                <w:color w:val="000000"/>
                <w:sz w:val="22"/>
              </w:rPr>
              <w:t>890</w:t>
            </w:r>
          </w:p>
        </w:tc>
        <w:tc>
          <w:tcPr>
            <w:tcW w:w="1755" w:type="dxa"/>
            <w:tcBorders>
              <w:top w:val="nil"/>
              <w:left w:val="nil"/>
              <w:bottom w:val="single" w:sz="4" w:space="0" w:color="auto"/>
              <w:right w:val="single" w:sz="4" w:space="0" w:color="auto"/>
            </w:tcBorders>
            <w:shd w:val="clear" w:color="000000" w:fill="DCE6F1"/>
            <w:noWrap/>
            <w:vAlign w:val="bottom"/>
            <w:hideMark/>
          </w:tcPr>
          <w:p w:rsidR="00D30502" w:rsidRPr="00D30502" w:rsidRDefault="00D30502" w:rsidP="00D30502">
            <w:pPr>
              <w:spacing w:after="0" w:line="240" w:lineRule="auto"/>
              <w:jc w:val="center"/>
              <w:rPr>
                <w:rFonts w:eastAsia="Times New Roman" w:cs="Times New Roman"/>
                <w:color w:val="000000"/>
                <w:sz w:val="22"/>
              </w:rPr>
            </w:pPr>
            <w:r w:rsidRPr="00D30502">
              <w:rPr>
                <w:rFonts w:eastAsia="Times New Roman" w:cs="Times New Roman"/>
                <w:color w:val="000000"/>
                <w:sz w:val="22"/>
              </w:rPr>
              <w:t>206</w:t>
            </w:r>
          </w:p>
        </w:tc>
        <w:tc>
          <w:tcPr>
            <w:tcW w:w="1859" w:type="dxa"/>
            <w:tcBorders>
              <w:top w:val="nil"/>
              <w:left w:val="nil"/>
              <w:bottom w:val="single" w:sz="4" w:space="0" w:color="auto"/>
              <w:right w:val="single" w:sz="4" w:space="0" w:color="auto"/>
            </w:tcBorders>
            <w:shd w:val="clear" w:color="000000" w:fill="DCE6F1"/>
            <w:noWrap/>
            <w:vAlign w:val="bottom"/>
            <w:hideMark/>
          </w:tcPr>
          <w:p w:rsidR="00D30502" w:rsidRPr="00D30502" w:rsidRDefault="00D30502" w:rsidP="00D30502">
            <w:pPr>
              <w:spacing w:after="0" w:line="240" w:lineRule="auto"/>
              <w:jc w:val="center"/>
              <w:rPr>
                <w:rFonts w:eastAsia="Times New Roman" w:cs="Times New Roman"/>
                <w:color w:val="000000"/>
                <w:sz w:val="22"/>
              </w:rPr>
            </w:pPr>
            <w:r w:rsidRPr="00D30502">
              <w:rPr>
                <w:rFonts w:eastAsia="Times New Roman" w:cs="Times New Roman"/>
                <w:color w:val="000000"/>
                <w:sz w:val="22"/>
              </w:rPr>
              <w:t>173,3</w:t>
            </w:r>
          </w:p>
        </w:tc>
        <w:tc>
          <w:tcPr>
            <w:tcW w:w="1446" w:type="dxa"/>
            <w:tcBorders>
              <w:top w:val="nil"/>
              <w:left w:val="nil"/>
              <w:bottom w:val="single" w:sz="4" w:space="0" w:color="auto"/>
              <w:right w:val="single" w:sz="4" w:space="0" w:color="auto"/>
            </w:tcBorders>
            <w:shd w:val="clear" w:color="000000" w:fill="DCE6F1"/>
            <w:noWrap/>
            <w:vAlign w:val="bottom"/>
            <w:hideMark/>
          </w:tcPr>
          <w:p w:rsidR="00D30502" w:rsidRPr="00D30502" w:rsidRDefault="00D30502" w:rsidP="00D30502">
            <w:pPr>
              <w:spacing w:after="0" w:line="240" w:lineRule="auto"/>
              <w:jc w:val="center"/>
              <w:rPr>
                <w:rFonts w:eastAsia="Times New Roman" w:cs="Times New Roman"/>
                <w:color w:val="000000"/>
                <w:sz w:val="22"/>
              </w:rPr>
            </w:pPr>
            <w:r w:rsidRPr="00D30502">
              <w:rPr>
                <w:rFonts w:eastAsia="Times New Roman" w:cs="Times New Roman"/>
                <w:color w:val="000000"/>
                <w:sz w:val="22"/>
              </w:rPr>
              <w:t>5,6</w:t>
            </w:r>
          </w:p>
        </w:tc>
      </w:tr>
      <w:tr w:rsidR="00D30502" w:rsidRPr="00D30502" w:rsidTr="00791F58">
        <w:trPr>
          <w:trHeight w:val="349"/>
        </w:trPr>
        <w:tc>
          <w:tcPr>
            <w:tcW w:w="1239" w:type="dxa"/>
            <w:vMerge/>
            <w:tcBorders>
              <w:top w:val="nil"/>
              <w:left w:val="nil"/>
              <w:bottom w:val="single" w:sz="4" w:space="0" w:color="FFFFFF"/>
              <w:right w:val="single" w:sz="4" w:space="0" w:color="FFFFFF"/>
            </w:tcBorders>
            <w:vAlign w:val="center"/>
            <w:hideMark/>
          </w:tcPr>
          <w:p w:rsidR="00D30502" w:rsidRPr="00D30502" w:rsidRDefault="00D30502" w:rsidP="00D30502">
            <w:pPr>
              <w:spacing w:after="0" w:line="240" w:lineRule="auto"/>
              <w:jc w:val="left"/>
              <w:rPr>
                <w:rFonts w:eastAsia="Times New Roman" w:cs="Times New Roman"/>
                <w:b/>
                <w:bCs/>
                <w:color w:val="FFFFFF"/>
                <w:sz w:val="22"/>
              </w:rPr>
            </w:pPr>
          </w:p>
        </w:tc>
        <w:tc>
          <w:tcPr>
            <w:tcW w:w="1239" w:type="dxa"/>
            <w:tcBorders>
              <w:top w:val="nil"/>
              <w:left w:val="nil"/>
              <w:bottom w:val="single" w:sz="4" w:space="0" w:color="FFFFFF"/>
              <w:right w:val="single" w:sz="4" w:space="0" w:color="FFFFFF"/>
            </w:tcBorders>
            <w:shd w:val="clear" w:color="000000" w:fill="95B3D7"/>
            <w:noWrap/>
            <w:vAlign w:val="center"/>
            <w:hideMark/>
          </w:tcPr>
          <w:p w:rsidR="00D30502" w:rsidRPr="00D30502" w:rsidRDefault="00D30502" w:rsidP="00D30502">
            <w:pPr>
              <w:spacing w:after="0" w:line="240" w:lineRule="auto"/>
              <w:jc w:val="center"/>
              <w:rPr>
                <w:rFonts w:eastAsia="Times New Roman" w:cs="Times New Roman"/>
                <w:b/>
                <w:bCs/>
                <w:color w:val="FFFFFF"/>
                <w:sz w:val="22"/>
              </w:rPr>
            </w:pPr>
            <w:r w:rsidRPr="00D30502">
              <w:rPr>
                <w:rFonts w:eastAsia="Times New Roman" w:cs="Times New Roman"/>
                <w:b/>
                <w:bCs/>
                <w:color w:val="FFFFFF"/>
                <w:sz w:val="22"/>
              </w:rPr>
              <w:t>III</w:t>
            </w:r>
          </w:p>
        </w:tc>
        <w:tc>
          <w:tcPr>
            <w:tcW w:w="1755" w:type="dxa"/>
            <w:tcBorders>
              <w:top w:val="nil"/>
              <w:left w:val="nil"/>
              <w:bottom w:val="single" w:sz="4" w:space="0" w:color="auto"/>
              <w:right w:val="single" w:sz="4" w:space="0" w:color="auto"/>
            </w:tcBorders>
            <w:shd w:val="clear" w:color="000000" w:fill="DCE6F1"/>
            <w:noWrap/>
            <w:vAlign w:val="bottom"/>
            <w:hideMark/>
          </w:tcPr>
          <w:p w:rsidR="00D30502" w:rsidRPr="00D30502" w:rsidRDefault="00D30502" w:rsidP="00D30502">
            <w:pPr>
              <w:spacing w:after="0" w:line="240" w:lineRule="auto"/>
              <w:jc w:val="center"/>
              <w:rPr>
                <w:rFonts w:eastAsia="Times New Roman" w:cs="Times New Roman"/>
                <w:color w:val="000000"/>
                <w:sz w:val="22"/>
              </w:rPr>
            </w:pPr>
            <w:r w:rsidRPr="00D30502">
              <w:rPr>
                <w:rFonts w:eastAsia="Times New Roman" w:cs="Times New Roman"/>
                <w:color w:val="000000"/>
                <w:sz w:val="22"/>
              </w:rPr>
              <w:t>1.026</w:t>
            </w:r>
          </w:p>
        </w:tc>
        <w:tc>
          <w:tcPr>
            <w:tcW w:w="1755" w:type="dxa"/>
            <w:tcBorders>
              <w:top w:val="nil"/>
              <w:left w:val="nil"/>
              <w:bottom w:val="single" w:sz="4" w:space="0" w:color="auto"/>
              <w:right w:val="single" w:sz="4" w:space="0" w:color="auto"/>
            </w:tcBorders>
            <w:shd w:val="clear" w:color="000000" w:fill="DCE6F1"/>
            <w:noWrap/>
            <w:vAlign w:val="bottom"/>
            <w:hideMark/>
          </w:tcPr>
          <w:p w:rsidR="00D30502" w:rsidRPr="00D30502" w:rsidRDefault="00D30502" w:rsidP="00D30502">
            <w:pPr>
              <w:spacing w:after="0" w:line="240" w:lineRule="auto"/>
              <w:jc w:val="center"/>
              <w:rPr>
                <w:rFonts w:eastAsia="Times New Roman" w:cs="Times New Roman"/>
                <w:color w:val="000000"/>
                <w:sz w:val="22"/>
              </w:rPr>
            </w:pPr>
            <w:r w:rsidRPr="00D30502">
              <w:rPr>
                <w:rFonts w:eastAsia="Times New Roman" w:cs="Times New Roman"/>
                <w:color w:val="000000"/>
                <w:sz w:val="22"/>
              </w:rPr>
              <w:t>190</w:t>
            </w:r>
          </w:p>
        </w:tc>
        <w:tc>
          <w:tcPr>
            <w:tcW w:w="1859" w:type="dxa"/>
            <w:tcBorders>
              <w:top w:val="nil"/>
              <w:left w:val="nil"/>
              <w:bottom w:val="single" w:sz="4" w:space="0" w:color="auto"/>
              <w:right w:val="single" w:sz="4" w:space="0" w:color="auto"/>
            </w:tcBorders>
            <w:shd w:val="clear" w:color="000000" w:fill="DCE6F1"/>
            <w:noWrap/>
            <w:vAlign w:val="bottom"/>
            <w:hideMark/>
          </w:tcPr>
          <w:p w:rsidR="00D30502" w:rsidRPr="00D30502" w:rsidRDefault="00D30502" w:rsidP="00D30502">
            <w:pPr>
              <w:spacing w:after="0" w:line="240" w:lineRule="auto"/>
              <w:jc w:val="center"/>
              <w:rPr>
                <w:rFonts w:eastAsia="Times New Roman" w:cs="Times New Roman"/>
                <w:color w:val="000000"/>
                <w:sz w:val="22"/>
              </w:rPr>
            </w:pPr>
            <w:r w:rsidRPr="00D30502">
              <w:rPr>
                <w:rFonts w:eastAsia="Times New Roman" w:cs="Times New Roman"/>
                <w:color w:val="000000"/>
                <w:sz w:val="22"/>
              </w:rPr>
              <w:t>184,8</w:t>
            </w:r>
          </w:p>
        </w:tc>
        <w:tc>
          <w:tcPr>
            <w:tcW w:w="1446" w:type="dxa"/>
            <w:tcBorders>
              <w:top w:val="nil"/>
              <w:left w:val="nil"/>
              <w:bottom w:val="single" w:sz="4" w:space="0" w:color="auto"/>
              <w:right w:val="single" w:sz="4" w:space="0" w:color="auto"/>
            </w:tcBorders>
            <w:shd w:val="clear" w:color="000000" w:fill="DCE6F1"/>
            <w:noWrap/>
            <w:vAlign w:val="bottom"/>
            <w:hideMark/>
          </w:tcPr>
          <w:p w:rsidR="00D30502" w:rsidRPr="00D30502" w:rsidRDefault="00D30502" w:rsidP="00D30502">
            <w:pPr>
              <w:spacing w:after="0" w:line="240" w:lineRule="auto"/>
              <w:jc w:val="center"/>
              <w:rPr>
                <w:rFonts w:eastAsia="Times New Roman" w:cs="Times New Roman"/>
                <w:color w:val="000000"/>
                <w:sz w:val="22"/>
              </w:rPr>
            </w:pPr>
            <w:r w:rsidRPr="00D30502">
              <w:rPr>
                <w:rFonts w:eastAsia="Times New Roman" w:cs="Times New Roman"/>
                <w:color w:val="000000"/>
                <w:sz w:val="22"/>
              </w:rPr>
              <w:t>2,3</w:t>
            </w:r>
          </w:p>
        </w:tc>
      </w:tr>
      <w:tr w:rsidR="00D30502" w:rsidRPr="00D30502" w:rsidTr="00791F58">
        <w:trPr>
          <w:trHeight w:val="349"/>
        </w:trPr>
        <w:tc>
          <w:tcPr>
            <w:tcW w:w="1239" w:type="dxa"/>
            <w:vMerge/>
            <w:tcBorders>
              <w:top w:val="nil"/>
              <w:left w:val="nil"/>
              <w:bottom w:val="single" w:sz="4" w:space="0" w:color="FFFFFF"/>
              <w:right w:val="single" w:sz="4" w:space="0" w:color="FFFFFF"/>
            </w:tcBorders>
            <w:vAlign w:val="center"/>
            <w:hideMark/>
          </w:tcPr>
          <w:p w:rsidR="00D30502" w:rsidRPr="00D30502" w:rsidRDefault="00D30502" w:rsidP="00D30502">
            <w:pPr>
              <w:spacing w:after="0" w:line="240" w:lineRule="auto"/>
              <w:jc w:val="left"/>
              <w:rPr>
                <w:rFonts w:eastAsia="Times New Roman" w:cs="Times New Roman"/>
                <w:b/>
                <w:bCs/>
                <w:color w:val="FFFFFF"/>
                <w:sz w:val="22"/>
              </w:rPr>
            </w:pPr>
          </w:p>
        </w:tc>
        <w:tc>
          <w:tcPr>
            <w:tcW w:w="1239" w:type="dxa"/>
            <w:tcBorders>
              <w:top w:val="nil"/>
              <w:left w:val="nil"/>
              <w:bottom w:val="single" w:sz="4" w:space="0" w:color="FFFFFF"/>
              <w:right w:val="single" w:sz="4" w:space="0" w:color="FFFFFF"/>
            </w:tcBorders>
            <w:shd w:val="clear" w:color="000000" w:fill="95B3D7"/>
            <w:noWrap/>
            <w:vAlign w:val="center"/>
            <w:hideMark/>
          </w:tcPr>
          <w:p w:rsidR="00D30502" w:rsidRPr="00D30502" w:rsidRDefault="00D30502" w:rsidP="00D30502">
            <w:pPr>
              <w:spacing w:after="0" w:line="240" w:lineRule="auto"/>
              <w:jc w:val="center"/>
              <w:rPr>
                <w:rFonts w:eastAsia="Times New Roman" w:cs="Times New Roman"/>
                <w:b/>
                <w:bCs/>
                <w:color w:val="FFFFFF"/>
                <w:sz w:val="22"/>
              </w:rPr>
            </w:pPr>
            <w:r w:rsidRPr="00D30502">
              <w:rPr>
                <w:rFonts w:eastAsia="Times New Roman" w:cs="Times New Roman"/>
                <w:b/>
                <w:bCs/>
                <w:color w:val="FFFFFF"/>
                <w:sz w:val="22"/>
              </w:rPr>
              <w:t>IV</w:t>
            </w:r>
          </w:p>
        </w:tc>
        <w:tc>
          <w:tcPr>
            <w:tcW w:w="1755" w:type="dxa"/>
            <w:tcBorders>
              <w:top w:val="nil"/>
              <w:left w:val="nil"/>
              <w:bottom w:val="single" w:sz="4" w:space="0" w:color="auto"/>
              <w:right w:val="single" w:sz="4" w:space="0" w:color="auto"/>
            </w:tcBorders>
            <w:shd w:val="clear" w:color="000000" w:fill="DCE6F1"/>
            <w:noWrap/>
            <w:vAlign w:val="bottom"/>
            <w:hideMark/>
          </w:tcPr>
          <w:p w:rsidR="00D30502" w:rsidRPr="00D30502" w:rsidRDefault="00D30502" w:rsidP="00D30502">
            <w:pPr>
              <w:spacing w:after="0" w:line="240" w:lineRule="auto"/>
              <w:jc w:val="center"/>
              <w:rPr>
                <w:rFonts w:eastAsia="Times New Roman" w:cs="Times New Roman"/>
                <w:color w:val="000000"/>
                <w:sz w:val="22"/>
              </w:rPr>
            </w:pPr>
            <w:r w:rsidRPr="00D30502">
              <w:rPr>
                <w:rFonts w:eastAsia="Times New Roman" w:cs="Times New Roman"/>
                <w:color w:val="000000"/>
                <w:sz w:val="22"/>
              </w:rPr>
              <w:t>1.017</w:t>
            </w:r>
          </w:p>
        </w:tc>
        <w:tc>
          <w:tcPr>
            <w:tcW w:w="1755" w:type="dxa"/>
            <w:tcBorders>
              <w:top w:val="nil"/>
              <w:left w:val="nil"/>
              <w:bottom w:val="single" w:sz="4" w:space="0" w:color="auto"/>
              <w:right w:val="single" w:sz="4" w:space="0" w:color="auto"/>
            </w:tcBorders>
            <w:shd w:val="clear" w:color="000000" w:fill="DCE6F1"/>
            <w:noWrap/>
            <w:vAlign w:val="bottom"/>
            <w:hideMark/>
          </w:tcPr>
          <w:p w:rsidR="00D30502" w:rsidRPr="00D30502" w:rsidRDefault="00D30502" w:rsidP="00D30502">
            <w:pPr>
              <w:spacing w:after="0" w:line="240" w:lineRule="auto"/>
              <w:jc w:val="center"/>
              <w:rPr>
                <w:rFonts w:eastAsia="Times New Roman" w:cs="Times New Roman"/>
                <w:color w:val="000000"/>
                <w:sz w:val="22"/>
              </w:rPr>
            </w:pPr>
            <w:r w:rsidRPr="00D30502">
              <w:rPr>
                <w:rFonts w:eastAsia="Times New Roman" w:cs="Times New Roman"/>
                <w:color w:val="000000"/>
                <w:sz w:val="22"/>
              </w:rPr>
              <w:t>186</w:t>
            </w:r>
          </w:p>
        </w:tc>
        <w:tc>
          <w:tcPr>
            <w:tcW w:w="1859" w:type="dxa"/>
            <w:tcBorders>
              <w:top w:val="nil"/>
              <w:left w:val="nil"/>
              <w:bottom w:val="single" w:sz="4" w:space="0" w:color="auto"/>
              <w:right w:val="single" w:sz="4" w:space="0" w:color="auto"/>
            </w:tcBorders>
            <w:shd w:val="clear" w:color="000000" w:fill="DCE6F1"/>
            <w:noWrap/>
            <w:vAlign w:val="bottom"/>
            <w:hideMark/>
          </w:tcPr>
          <w:p w:rsidR="00D30502" w:rsidRPr="00D30502" w:rsidRDefault="00D30502" w:rsidP="00D30502">
            <w:pPr>
              <w:spacing w:after="0" w:line="240" w:lineRule="auto"/>
              <w:jc w:val="center"/>
              <w:rPr>
                <w:rFonts w:eastAsia="Times New Roman" w:cs="Times New Roman"/>
                <w:color w:val="000000"/>
                <w:sz w:val="22"/>
              </w:rPr>
            </w:pPr>
            <w:r w:rsidRPr="00D30502">
              <w:rPr>
                <w:rFonts w:eastAsia="Times New Roman" w:cs="Times New Roman"/>
                <w:color w:val="000000"/>
                <w:sz w:val="22"/>
              </w:rPr>
              <w:t>180,7</w:t>
            </w:r>
          </w:p>
        </w:tc>
        <w:tc>
          <w:tcPr>
            <w:tcW w:w="1446" w:type="dxa"/>
            <w:tcBorders>
              <w:top w:val="nil"/>
              <w:left w:val="nil"/>
              <w:bottom w:val="single" w:sz="4" w:space="0" w:color="auto"/>
              <w:right w:val="single" w:sz="4" w:space="0" w:color="auto"/>
            </w:tcBorders>
            <w:shd w:val="clear" w:color="000000" w:fill="DCE6F1"/>
            <w:noWrap/>
            <w:vAlign w:val="bottom"/>
            <w:hideMark/>
          </w:tcPr>
          <w:p w:rsidR="00D30502" w:rsidRPr="00D30502" w:rsidRDefault="00D30502" w:rsidP="00D30502">
            <w:pPr>
              <w:spacing w:after="0" w:line="240" w:lineRule="auto"/>
              <w:jc w:val="center"/>
              <w:rPr>
                <w:rFonts w:eastAsia="Times New Roman" w:cs="Times New Roman"/>
                <w:color w:val="000000"/>
                <w:sz w:val="22"/>
              </w:rPr>
            </w:pPr>
            <w:r w:rsidRPr="00D30502">
              <w:rPr>
                <w:rFonts w:eastAsia="Times New Roman" w:cs="Times New Roman"/>
                <w:color w:val="000000"/>
                <w:sz w:val="22"/>
              </w:rPr>
              <w:t>-2,8</w:t>
            </w:r>
          </w:p>
        </w:tc>
      </w:tr>
      <w:tr w:rsidR="00D30502" w:rsidRPr="00D30502" w:rsidTr="00791F58">
        <w:trPr>
          <w:trHeight w:val="349"/>
        </w:trPr>
        <w:tc>
          <w:tcPr>
            <w:tcW w:w="1239" w:type="dxa"/>
            <w:vMerge/>
            <w:tcBorders>
              <w:top w:val="nil"/>
              <w:left w:val="nil"/>
              <w:bottom w:val="single" w:sz="4" w:space="0" w:color="FFFFFF"/>
              <w:right w:val="single" w:sz="4" w:space="0" w:color="FFFFFF"/>
            </w:tcBorders>
            <w:vAlign w:val="center"/>
            <w:hideMark/>
          </w:tcPr>
          <w:p w:rsidR="00D30502" w:rsidRPr="00D30502" w:rsidRDefault="00D30502" w:rsidP="00D30502">
            <w:pPr>
              <w:spacing w:after="0" w:line="240" w:lineRule="auto"/>
              <w:jc w:val="left"/>
              <w:rPr>
                <w:rFonts w:eastAsia="Times New Roman" w:cs="Times New Roman"/>
                <w:b/>
                <w:bCs/>
                <w:color w:val="FFFFFF"/>
                <w:sz w:val="22"/>
              </w:rPr>
            </w:pPr>
          </w:p>
        </w:tc>
        <w:tc>
          <w:tcPr>
            <w:tcW w:w="1239" w:type="dxa"/>
            <w:tcBorders>
              <w:top w:val="nil"/>
              <w:left w:val="nil"/>
              <w:bottom w:val="single" w:sz="4" w:space="0" w:color="FFFFFF"/>
              <w:right w:val="single" w:sz="4" w:space="0" w:color="FFFFFF"/>
            </w:tcBorders>
            <w:shd w:val="clear" w:color="000000" w:fill="95B3D7"/>
            <w:noWrap/>
            <w:vAlign w:val="center"/>
            <w:hideMark/>
          </w:tcPr>
          <w:p w:rsidR="00D30502" w:rsidRPr="00D30502" w:rsidRDefault="00D30502" w:rsidP="00D30502">
            <w:pPr>
              <w:spacing w:after="0" w:line="240" w:lineRule="auto"/>
              <w:jc w:val="center"/>
              <w:rPr>
                <w:rFonts w:eastAsia="Times New Roman" w:cs="Times New Roman"/>
                <w:b/>
                <w:bCs/>
                <w:color w:val="FFFFFF"/>
                <w:sz w:val="22"/>
              </w:rPr>
            </w:pPr>
            <w:r w:rsidRPr="00D30502">
              <w:rPr>
                <w:rFonts w:eastAsia="Times New Roman" w:cs="Times New Roman"/>
                <w:b/>
                <w:bCs/>
                <w:color w:val="FFFFFF"/>
                <w:sz w:val="22"/>
              </w:rPr>
              <w:t>Yıllık</w:t>
            </w:r>
          </w:p>
        </w:tc>
        <w:tc>
          <w:tcPr>
            <w:tcW w:w="1755" w:type="dxa"/>
            <w:tcBorders>
              <w:top w:val="nil"/>
              <w:left w:val="nil"/>
              <w:bottom w:val="single" w:sz="4" w:space="0" w:color="auto"/>
              <w:right w:val="single" w:sz="4" w:space="0" w:color="auto"/>
            </w:tcBorders>
            <w:shd w:val="clear" w:color="000000" w:fill="DCE6F1"/>
            <w:noWrap/>
            <w:vAlign w:val="bottom"/>
            <w:hideMark/>
          </w:tcPr>
          <w:p w:rsidR="00D30502" w:rsidRPr="00D30502" w:rsidRDefault="00D30502" w:rsidP="00D30502">
            <w:pPr>
              <w:spacing w:after="0" w:line="240" w:lineRule="auto"/>
              <w:jc w:val="center"/>
              <w:rPr>
                <w:rFonts w:eastAsia="Times New Roman" w:cs="Times New Roman"/>
                <w:b/>
                <w:color w:val="000000"/>
                <w:sz w:val="22"/>
              </w:rPr>
            </w:pPr>
            <w:r w:rsidRPr="00D30502">
              <w:rPr>
                <w:rFonts w:eastAsia="Times New Roman" w:cs="Times New Roman"/>
                <w:b/>
                <w:color w:val="000000"/>
                <w:sz w:val="22"/>
              </w:rPr>
              <w:t>3.724</w:t>
            </w:r>
          </w:p>
        </w:tc>
        <w:tc>
          <w:tcPr>
            <w:tcW w:w="1755" w:type="dxa"/>
            <w:tcBorders>
              <w:top w:val="nil"/>
              <w:left w:val="nil"/>
              <w:bottom w:val="single" w:sz="4" w:space="0" w:color="auto"/>
              <w:right w:val="single" w:sz="4" w:space="0" w:color="auto"/>
            </w:tcBorders>
            <w:shd w:val="clear" w:color="000000" w:fill="DCE6F1"/>
            <w:noWrap/>
            <w:vAlign w:val="bottom"/>
            <w:hideMark/>
          </w:tcPr>
          <w:p w:rsidR="00D30502" w:rsidRPr="00D30502" w:rsidRDefault="00D30502" w:rsidP="00D30502">
            <w:pPr>
              <w:spacing w:after="0" w:line="240" w:lineRule="auto"/>
              <w:jc w:val="center"/>
              <w:rPr>
                <w:rFonts w:eastAsia="Times New Roman" w:cs="Times New Roman"/>
                <w:b/>
                <w:color w:val="000000"/>
                <w:sz w:val="22"/>
              </w:rPr>
            </w:pPr>
            <w:r w:rsidRPr="00D30502">
              <w:rPr>
                <w:rFonts w:eastAsia="Times New Roman" w:cs="Times New Roman"/>
                <w:b/>
                <w:color w:val="000000"/>
                <w:sz w:val="22"/>
              </w:rPr>
              <w:t>789</w:t>
            </w:r>
          </w:p>
        </w:tc>
        <w:tc>
          <w:tcPr>
            <w:tcW w:w="1859" w:type="dxa"/>
            <w:tcBorders>
              <w:top w:val="nil"/>
              <w:left w:val="nil"/>
              <w:bottom w:val="single" w:sz="4" w:space="0" w:color="auto"/>
              <w:right w:val="single" w:sz="4" w:space="0" w:color="auto"/>
            </w:tcBorders>
            <w:shd w:val="clear" w:color="000000" w:fill="DCE6F1"/>
            <w:noWrap/>
            <w:vAlign w:val="bottom"/>
            <w:hideMark/>
          </w:tcPr>
          <w:p w:rsidR="00D30502" w:rsidRPr="00D30502" w:rsidRDefault="00D30502" w:rsidP="00D30502">
            <w:pPr>
              <w:spacing w:after="0" w:line="240" w:lineRule="auto"/>
              <w:jc w:val="center"/>
              <w:rPr>
                <w:rFonts w:eastAsia="Times New Roman" w:cs="Times New Roman"/>
                <w:b/>
                <w:color w:val="000000"/>
                <w:sz w:val="22"/>
              </w:rPr>
            </w:pPr>
            <w:r w:rsidRPr="00D30502">
              <w:rPr>
                <w:rFonts w:eastAsia="Times New Roman" w:cs="Times New Roman"/>
                <w:b/>
                <w:color w:val="000000"/>
                <w:sz w:val="22"/>
              </w:rPr>
              <w:t>174,3</w:t>
            </w:r>
          </w:p>
        </w:tc>
        <w:tc>
          <w:tcPr>
            <w:tcW w:w="1446" w:type="dxa"/>
            <w:tcBorders>
              <w:top w:val="nil"/>
              <w:left w:val="nil"/>
              <w:bottom w:val="single" w:sz="4" w:space="0" w:color="auto"/>
              <w:right w:val="single" w:sz="4" w:space="0" w:color="auto"/>
            </w:tcBorders>
            <w:shd w:val="clear" w:color="000000" w:fill="DCE6F1"/>
            <w:noWrap/>
            <w:vAlign w:val="bottom"/>
            <w:hideMark/>
          </w:tcPr>
          <w:p w:rsidR="00D30502" w:rsidRPr="00D30502" w:rsidRDefault="00D30502" w:rsidP="00D30502">
            <w:pPr>
              <w:spacing w:after="0" w:line="240" w:lineRule="auto"/>
              <w:jc w:val="center"/>
              <w:rPr>
                <w:rFonts w:eastAsia="Times New Roman" w:cs="Times New Roman"/>
                <w:b/>
                <w:color w:val="000000"/>
                <w:sz w:val="22"/>
              </w:rPr>
            </w:pPr>
            <w:r w:rsidRPr="00D30502">
              <w:rPr>
                <w:rFonts w:eastAsia="Times New Roman" w:cs="Times New Roman"/>
                <w:b/>
                <w:color w:val="000000"/>
                <w:sz w:val="22"/>
              </w:rPr>
              <w:t>3,1</w:t>
            </w:r>
          </w:p>
        </w:tc>
      </w:tr>
      <w:tr w:rsidR="00D30502" w:rsidRPr="00D30502" w:rsidTr="00791F58">
        <w:trPr>
          <w:trHeight w:val="356"/>
        </w:trPr>
        <w:tc>
          <w:tcPr>
            <w:tcW w:w="1239" w:type="dxa"/>
            <w:vMerge w:val="restart"/>
            <w:tcBorders>
              <w:top w:val="nil"/>
              <w:left w:val="nil"/>
              <w:bottom w:val="nil"/>
              <w:right w:val="single" w:sz="4" w:space="0" w:color="FFFFFF"/>
            </w:tcBorders>
            <w:shd w:val="clear" w:color="000000" w:fill="1F497D"/>
            <w:noWrap/>
            <w:vAlign w:val="center"/>
            <w:hideMark/>
          </w:tcPr>
          <w:p w:rsidR="00D30502" w:rsidRPr="00D30502" w:rsidRDefault="00D30502" w:rsidP="00D30502">
            <w:pPr>
              <w:spacing w:after="0" w:line="240" w:lineRule="auto"/>
              <w:jc w:val="center"/>
              <w:rPr>
                <w:rFonts w:eastAsia="Times New Roman" w:cs="Times New Roman"/>
                <w:b/>
                <w:bCs/>
                <w:color w:val="FFFFFF"/>
                <w:sz w:val="22"/>
              </w:rPr>
            </w:pPr>
            <w:r w:rsidRPr="00D30502">
              <w:rPr>
                <w:rFonts w:eastAsia="Times New Roman" w:cs="Times New Roman"/>
                <w:b/>
                <w:bCs/>
                <w:color w:val="FFFFFF"/>
                <w:sz w:val="22"/>
              </w:rPr>
              <w:t>2019</w:t>
            </w:r>
          </w:p>
        </w:tc>
        <w:tc>
          <w:tcPr>
            <w:tcW w:w="1239" w:type="dxa"/>
            <w:tcBorders>
              <w:top w:val="nil"/>
              <w:left w:val="nil"/>
              <w:bottom w:val="single" w:sz="4" w:space="0" w:color="FFFFFF"/>
              <w:right w:val="single" w:sz="4" w:space="0" w:color="FFFFFF"/>
            </w:tcBorders>
            <w:shd w:val="clear" w:color="000000" w:fill="95B3D7"/>
            <w:noWrap/>
            <w:vAlign w:val="center"/>
            <w:hideMark/>
          </w:tcPr>
          <w:p w:rsidR="00D30502" w:rsidRPr="00D30502" w:rsidRDefault="00D30502" w:rsidP="00D30502">
            <w:pPr>
              <w:spacing w:after="0" w:line="240" w:lineRule="auto"/>
              <w:jc w:val="center"/>
              <w:rPr>
                <w:rFonts w:eastAsia="Times New Roman" w:cs="Times New Roman"/>
                <w:b/>
                <w:bCs/>
                <w:color w:val="FFFFFF"/>
                <w:sz w:val="22"/>
              </w:rPr>
            </w:pPr>
            <w:r w:rsidRPr="00D30502">
              <w:rPr>
                <w:rFonts w:eastAsia="Times New Roman" w:cs="Times New Roman"/>
                <w:b/>
                <w:bCs/>
                <w:color w:val="FFFFFF"/>
                <w:sz w:val="22"/>
              </w:rPr>
              <w:t>I</w:t>
            </w:r>
          </w:p>
        </w:tc>
        <w:tc>
          <w:tcPr>
            <w:tcW w:w="1755" w:type="dxa"/>
            <w:tcBorders>
              <w:top w:val="nil"/>
              <w:left w:val="nil"/>
              <w:bottom w:val="single" w:sz="4" w:space="0" w:color="auto"/>
              <w:right w:val="single" w:sz="4" w:space="0" w:color="auto"/>
            </w:tcBorders>
            <w:shd w:val="clear" w:color="000000" w:fill="DCE6F1"/>
            <w:noWrap/>
            <w:vAlign w:val="bottom"/>
            <w:hideMark/>
          </w:tcPr>
          <w:p w:rsidR="00D30502" w:rsidRPr="00D30502" w:rsidRDefault="00D30502" w:rsidP="00D30502">
            <w:pPr>
              <w:spacing w:after="0" w:line="240" w:lineRule="auto"/>
              <w:jc w:val="center"/>
              <w:rPr>
                <w:rFonts w:eastAsia="Times New Roman" w:cs="Times New Roman"/>
                <w:color w:val="000000"/>
                <w:sz w:val="22"/>
              </w:rPr>
            </w:pPr>
            <w:r w:rsidRPr="00D30502">
              <w:rPr>
                <w:rFonts w:eastAsia="Times New Roman" w:cs="Times New Roman"/>
                <w:color w:val="000000"/>
                <w:sz w:val="22"/>
              </w:rPr>
              <w:t>921</w:t>
            </w:r>
          </w:p>
        </w:tc>
        <w:tc>
          <w:tcPr>
            <w:tcW w:w="1755" w:type="dxa"/>
            <w:tcBorders>
              <w:top w:val="nil"/>
              <w:left w:val="nil"/>
              <w:bottom w:val="single" w:sz="4" w:space="0" w:color="auto"/>
              <w:right w:val="single" w:sz="4" w:space="0" w:color="auto"/>
            </w:tcBorders>
            <w:shd w:val="clear" w:color="000000" w:fill="DCE6F1"/>
            <w:noWrap/>
            <w:vAlign w:val="bottom"/>
            <w:hideMark/>
          </w:tcPr>
          <w:p w:rsidR="00D30502" w:rsidRPr="00D30502" w:rsidRDefault="00D30502" w:rsidP="00D30502">
            <w:pPr>
              <w:spacing w:after="0" w:line="240" w:lineRule="auto"/>
              <w:jc w:val="center"/>
              <w:rPr>
                <w:rFonts w:eastAsia="Times New Roman" w:cs="Times New Roman"/>
                <w:color w:val="000000"/>
                <w:sz w:val="22"/>
              </w:rPr>
            </w:pPr>
            <w:r w:rsidRPr="00D30502">
              <w:rPr>
                <w:rFonts w:eastAsia="Times New Roman" w:cs="Times New Roman"/>
                <w:color w:val="000000"/>
                <w:sz w:val="22"/>
              </w:rPr>
              <w:t>172</w:t>
            </w:r>
          </w:p>
        </w:tc>
        <w:tc>
          <w:tcPr>
            <w:tcW w:w="1859" w:type="dxa"/>
            <w:tcBorders>
              <w:top w:val="nil"/>
              <w:left w:val="nil"/>
              <w:bottom w:val="single" w:sz="4" w:space="0" w:color="auto"/>
              <w:right w:val="single" w:sz="4" w:space="0" w:color="auto"/>
            </w:tcBorders>
            <w:shd w:val="clear" w:color="000000" w:fill="DCE6F1"/>
            <w:noWrap/>
            <w:vAlign w:val="bottom"/>
            <w:hideMark/>
          </w:tcPr>
          <w:p w:rsidR="00D30502" w:rsidRPr="00D30502" w:rsidRDefault="00D30502" w:rsidP="00D30502">
            <w:pPr>
              <w:spacing w:after="0" w:line="240" w:lineRule="auto"/>
              <w:jc w:val="center"/>
              <w:rPr>
                <w:rFonts w:eastAsia="Times New Roman" w:cs="Times New Roman"/>
                <w:color w:val="000000"/>
                <w:sz w:val="22"/>
              </w:rPr>
            </w:pPr>
            <w:r w:rsidRPr="00D30502">
              <w:rPr>
                <w:rFonts w:eastAsia="Times New Roman" w:cs="Times New Roman"/>
                <w:color w:val="000000"/>
                <w:sz w:val="22"/>
              </w:rPr>
              <w:t>154,8</w:t>
            </w:r>
          </w:p>
        </w:tc>
        <w:tc>
          <w:tcPr>
            <w:tcW w:w="1446" w:type="dxa"/>
            <w:tcBorders>
              <w:top w:val="nil"/>
              <w:left w:val="nil"/>
              <w:bottom w:val="single" w:sz="4" w:space="0" w:color="auto"/>
              <w:right w:val="single" w:sz="4" w:space="0" w:color="auto"/>
            </w:tcBorders>
            <w:shd w:val="clear" w:color="000000" w:fill="DCE6F1"/>
            <w:noWrap/>
            <w:vAlign w:val="bottom"/>
            <w:hideMark/>
          </w:tcPr>
          <w:p w:rsidR="00D30502" w:rsidRPr="00D30502" w:rsidRDefault="00D30502" w:rsidP="00D30502">
            <w:pPr>
              <w:spacing w:after="0" w:line="240" w:lineRule="auto"/>
              <w:jc w:val="center"/>
              <w:rPr>
                <w:rFonts w:eastAsia="Times New Roman" w:cs="Times New Roman"/>
                <w:color w:val="000000"/>
                <w:sz w:val="22"/>
              </w:rPr>
            </w:pPr>
            <w:r w:rsidRPr="00D30502">
              <w:rPr>
                <w:rFonts w:eastAsia="Times New Roman" w:cs="Times New Roman"/>
                <w:color w:val="000000"/>
                <w:sz w:val="22"/>
              </w:rPr>
              <w:t>-2,4</w:t>
            </w:r>
          </w:p>
        </w:tc>
      </w:tr>
      <w:tr w:rsidR="00D30502" w:rsidRPr="00D30502" w:rsidTr="00791F58">
        <w:trPr>
          <w:trHeight w:val="349"/>
        </w:trPr>
        <w:tc>
          <w:tcPr>
            <w:tcW w:w="1239" w:type="dxa"/>
            <w:vMerge/>
            <w:tcBorders>
              <w:top w:val="nil"/>
              <w:left w:val="nil"/>
              <w:bottom w:val="nil"/>
              <w:right w:val="single" w:sz="4" w:space="0" w:color="FFFFFF"/>
            </w:tcBorders>
            <w:vAlign w:val="center"/>
            <w:hideMark/>
          </w:tcPr>
          <w:p w:rsidR="00D30502" w:rsidRPr="00D30502" w:rsidRDefault="00D30502" w:rsidP="00D30502">
            <w:pPr>
              <w:spacing w:after="0" w:line="240" w:lineRule="auto"/>
              <w:jc w:val="left"/>
              <w:rPr>
                <w:rFonts w:eastAsia="Times New Roman" w:cs="Times New Roman"/>
                <w:b/>
                <w:bCs/>
                <w:color w:val="FFFFFF"/>
                <w:sz w:val="22"/>
              </w:rPr>
            </w:pPr>
          </w:p>
        </w:tc>
        <w:tc>
          <w:tcPr>
            <w:tcW w:w="1239" w:type="dxa"/>
            <w:tcBorders>
              <w:top w:val="nil"/>
              <w:left w:val="nil"/>
              <w:bottom w:val="single" w:sz="4" w:space="0" w:color="FFFFFF"/>
              <w:right w:val="single" w:sz="4" w:space="0" w:color="FFFFFF"/>
            </w:tcBorders>
            <w:shd w:val="clear" w:color="000000" w:fill="95B3D7"/>
            <w:noWrap/>
            <w:vAlign w:val="center"/>
            <w:hideMark/>
          </w:tcPr>
          <w:p w:rsidR="00D30502" w:rsidRPr="00D30502" w:rsidRDefault="00D30502" w:rsidP="00D30502">
            <w:pPr>
              <w:spacing w:after="0" w:line="240" w:lineRule="auto"/>
              <w:jc w:val="center"/>
              <w:rPr>
                <w:rFonts w:eastAsia="Times New Roman" w:cs="Times New Roman"/>
                <w:b/>
                <w:bCs/>
                <w:color w:val="FFFFFF"/>
                <w:sz w:val="22"/>
              </w:rPr>
            </w:pPr>
            <w:r w:rsidRPr="00D30502">
              <w:rPr>
                <w:rFonts w:eastAsia="Times New Roman" w:cs="Times New Roman"/>
                <w:b/>
                <w:bCs/>
                <w:color w:val="FFFFFF"/>
                <w:sz w:val="22"/>
              </w:rPr>
              <w:t>II</w:t>
            </w:r>
          </w:p>
        </w:tc>
        <w:tc>
          <w:tcPr>
            <w:tcW w:w="1755" w:type="dxa"/>
            <w:tcBorders>
              <w:top w:val="nil"/>
              <w:left w:val="nil"/>
              <w:bottom w:val="single" w:sz="4" w:space="0" w:color="auto"/>
              <w:right w:val="single" w:sz="4" w:space="0" w:color="auto"/>
            </w:tcBorders>
            <w:shd w:val="clear" w:color="000000" w:fill="DCE6F1"/>
            <w:noWrap/>
            <w:vAlign w:val="bottom"/>
            <w:hideMark/>
          </w:tcPr>
          <w:p w:rsidR="00D30502" w:rsidRPr="00D30502" w:rsidRDefault="00D30502" w:rsidP="00D30502">
            <w:pPr>
              <w:spacing w:after="0" w:line="240" w:lineRule="auto"/>
              <w:jc w:val="center"/>
              <w:rPr>
                <w:rFonts w:eastAsia="Times New Roman" w:cs="Times New Roman"/>
                <w:color w:val="000000"/>
                <w:sz w:val="22"/>
              </w:rPr>
            </w:pPr>
            <w:r w:rsidRPr="00D30502">
              <w:rPr>
                <w:rFonts w:eastAsia="Times New Roman" w:cs="Times New Roman"/>
                <w:color w:val="000000"/>
                <w:sz w:val="22"/>
              </w:rPr>
              <w:t>1.024</w:t>
            </w:r>
          </w:p>
        </w:tc>
        <w:tc>
          <w:tcPr>
            <w:tcW w:w="1755" w:type="dxa"/>
            <w:tcBorders>
              <w:top w:val="nil"/>
              <w:left w:val="nil"/>
              <w:bottom w:val="single" w:sz="4" w:space="0" w:color="auto"/>
              <w:right w:val="single" w:sz="4" w:space="0" w:color="auto"/>
            </w:tcBorders>
            <w:shd w:val="clear" w:color="000000" w:fill="DCE6F1"/>
            <w:noWrap/>
            <w:vAlign w:val="bottom"/>
            <w:hideMark/>
          </w:tcPr>
          <w:p w:rsidR="00D30502" w:rsidRPr="00D30502" w:rsidRDefault="00D30502" w:rsidP="00D30502">
            <w:pPr>
              <w:spacing w:after="0" w:line="240" w:lineRule="auto"/>
              <w:jc w:val="center"/>
              <w:rPr>
                <w:rFonts w:eastAsia="Times New Roman" w:cs="Times New Roman"/>
                <w:color w:val="000000"/>
                <w:sz w:val="22"/>
              </w:rPr>
            </w:pPr>
            <w:r w:rsidRPr="00D30502">
              <w:rPr>
                <w:rFonts w:eastAsia="Times New Roman" w:cs="Times New Roman"/>
                <w:color w:val="000000"/>
                <w:sz w:val="22"/>
              </w:rPr>
              <w:t>175</w:t>
            </w:r>
          </w:p>
        </w:tc>
        <w:tc>
          <w:tcPr>
            <w:tcW w:w="1859" w:type="dxa"/>
            <w:tcBorders>
              <w:top w:val="nil"/>
              <w:left w:val="nil"/>
              <w:bottom w:val="single" w:sz="4" w:space="0" w:color="auto"/>
              <w:right w:val="single" w:sz="4" w:space="0" w:color="auto"/>
            </w:tcBorders>
            <w:shd w:val="clear" w:color="000000" w:fill="DCE6F1"/>
            <w:noWrap/>
            <w:vAlign w:val="bottom"/>
            <w:hideMark/>
          </w:tcPr>
          <w:p w:rsidR="00D30502" w:rsidRPr="00D30502" w:rsidRDefault="00D30502" w:rsidP="00D30502">
            <w:pPr>
              <w:spacing w:after="0" w:line="240" w:lineRule="auto"/>
              <w:jc w:val="center"/>
              <w:rPr>
                <w:rFonts w:eastAsia="Times New Roman" w:cs="Times New Roman"/>
                <w:color w:val="000000"/>
                <w:sz w:val="22"/>
              </w:rPr>
            </w:pPr>
            <w:r w:rsidRPr="00D30502">
              <w:rPr>
                <w:rFonts w:eastAsia="Times New Roman" w:cs="Times New Roman"/>
                <w:color w:val="000000"/>
                <w:sz w:val="22"/>
              </w:rPr>
              <w:t>170,7</w:t>
            </w:r>
          </w:p>
        </w:tc>
        <w:tc>
          <w:tcPr>
            <w:tcW w:w="1446" w:type="dxa"/>
            <w:tcBorders>
              <w:top w:val="nil"/>
              <w:left w:val="nil"/>
              <w:bottom w:val="single" w:sz="4" w:space="0" w:color="auto"/>
              <w:right w:val="single" w:sz="4" w:space="0" w:color="auto"/>
            </w:tcBorders>
            <w:shd w:val="clear" w:color="000000" w:fill="DCE6F1"/>
            <w:noWrap/>
            <w:vAlign w:val="bottom"/>
            <w:hideMark/>
          </w:tcPr>
          <w:p w:rsidR="00D30502" w:rsidRPr="00D30502" w:rsidRDefault="00D30502" w:rsidP="00D30502">
            <w:pPr>
              <w:spacing w:after="0" w:line="240" w:lineRule="auto"/>
              <w:jc w:val="center"/>
              <w:rPr>
                <w:rFonts w:eastAsia="Times New Roman" w:cs="Times New Roman"/>
                <w:color w:val="000000"/>
                <w:sz w:val="22"/>
              </w:rPr>
            </w:pPr>
            <w:r w:rsidRPr="00D30502">
              <w:rPr>
                <w:rFonts w:eastAsia="Times New Roman" w:cs="Times New Roman"/>
                <w:color w:val="000000"/>
                <w:sz w:val="22"/>
              </w:rPr>
              <w:t>-1,5</w:t>
            </w:r>
          </w:p>
        </w:tc>
      </w:tr>
    </w:tbl>
    <w:p w:rsidR="00851D1C" w:rsidRPr="006977BC" w:rsidRDefault="00B973FC" w:rsidP="006977BC">
      <w:pPr>
        <w:pStyle w:val="rresim"/>
        <w:jc w:val="left"/>
        <w:rPr>
          <w:rFonts w:cs="Times New Roman"/>
          <w:b w:val="0"/>
          <w:sz w:val="14"/>
          <w:szCs w:val="14"/>
        </w:rPr>
      </w:pPr>
      <w:r w:rsidRPr="00245C55">
        <w:rPr>
          <w:rFonts w:cs="Times New Roman"/>
          <w:sz w:val="14"/>
          <w:szCs w:val="14"/>
        </w:rPr>
        <w:br/>
      </w:r>
      <w:r w:rsidR="00530076" w:rsidRPr="006977BC">
        <w:rPr>
          <w:rFonts w:cs="Times New Roman"/>
          <w:sz w:val="20"/>
          <w:szCs w:val="14"/>
        </w:rPr>
        <w:t>*Bir önceki yılın aynı dönemine</w:t>
      </w:r>
      <w:r w:rsidR="00C144CC" w:rsidRPr="006977BC">
        <w:rPr>
          <w:rFonts w:cs="Times New Roman"/>
          <w:sz w:val="20"/>
          <w:szCs w:val="14"/>
        </w:rPr>
        <w:t xml:space="preserve"> göre enflasyon değişimi</w:t>
      </w:r>
    </w:p>
    <w:p w:rsidR="006977BC" w:rsidRDefault="00EE58FC" w:rsidP="006977BC">
      <w:pPr>
        <w:rPr>
          <w:szCs w:val="24"/>
        </w:rPr>
      </w:pPr>
      <w:r w:rsidRPr="005C3DCF">
        <w:rPr>
          <w:szCs w:val="24"/>
        </w:rPr>
        <w:t>Gelir yöntemi ile hesaplanan GSYH</w:t>
      </w:r>
      <w:r w:rsidR="00567194" w:rsidRPr="005C3DCF">
        <w:rPr>
          <w:szCs w:val="24"/>
        </w:rPr>
        <w:t>, ekonomideki üretici birimlerin elde ettiği maaş, ücret gelirleri, işletme karı ve devletin elde ettiği ç</w:t>
      </w:r>
      <w:r w:rsidRPr="005C3DCF">
        <w:rPr>
          <w:szCs w:val="24"/>
        </w:rPr>
        <w:t>eşitli vergi gelirlerinden oluşmaktadır. Gelir yöntemiyle hesaplanan GSYH bileşenlerinin Gayrisafi Katma Değer (GSKD) içerisindeki payları incelendiğinde</w:t>
      </w:r>
      <w:r w:rsidR="005C3DCF">
        <w:rPr>
          <w:szCs w:val="24"/>
        </w:rPr>
        <w:t>,</w:t>
      </w:r>
      <w:r w:rsidRPr="005C3DCF">
        <w:rPr>
          <w:szCs w:val="24"/>
        </w:rPr>
        <w:t xml:space="preserve"> işgücü ödemelerinin cari GSKD içerisindeki payı geçen</w:t>
      </w:r>
      <w:r w:rsidR="004B4592">
        <w:rPr>
          <w:szCs w:val="24"/>
        </w:rPr>
        <w:t xml:space="preserve"> yılın aynı döneminde yüzde 35,6</w:t>
      </w:r>
      <w:r w:rsidRPr="005C3DCF">
        <w:rPr>
          <w:szCs w:val="24"/>
        </w:rPr>
        <w:t xml:space="preserve"> iken bu oran</w:t>
      </w:r>
      <w:r w:rsidR="00F0346B">
        <w:rPr>
          <w:szCs w:val="24"/>
        </w:rPr>
        <w:t>ın</w:t>
      </w:r>
      <w:r w:rsidR="00793755">
        <w:rPr>
          <w:szCs w:val="24"/>
        </w:rPr>
        <w:t xml:space="preserve"> 2019</w:t>
      </w:r>
      <w:r w:rsidRPr="005C3DCF">
        <w:rPr>
          <w:szCs w:val="24"/>
        </w:rPr>
        <w:t xml:space="preserve"> yılı</w:t>
      </w:r>
      <w:r w:rsidR="00793755">
        <w:rPr>
          <w:szCs w:val="24"/>
        </w:rPr>
        <w:t>n</w:t>
      </w:r>
      <w:r w:rsidR="00141F4D">
        <w:rPr>
          <w:szCs w:val="24"/>
        </w:rPr>
        <w:t xml:space="preserve">ın </w:t>
      </w:r>
      <w:r w:rsidR="004B4592">
        <w:rPr>
          <w:szCs w:val="24"/>
        </w:rPr>
        <w:t>ikinci çeyreğinde yüzde 37,1</w:t>
      </w:r>
      <w:r w:rsidRPr="005C3DCF">
        <w:rPr>
          <w:szCs w:val="24"/>
        </w:rPr>
        <w:t xml:space="preserve"> ol</w:t>
      </w:r>
      <w:r w:rsidR="005C3DCF">
        <w:rPr>
          <w:szCs w:val="24"/>
        </w:rPr>
        <w:t>duğu görülmektedir</w:t>
      </w:r>
      <w:r w:rsidRPr="005C3DCF">
        <w:rPr>
          <w:szCs w:val="24"/>
        </w:rPr>
        <w:t>. Net işletme artığı</w:t>
      </w:r>
      <w:r w:rsidR="00353B1A">
        <w:rPr>
          <w:szCs w:val="24"/>
        </w:rPr>
        <w:t>/ka</w:t>
      </w:r>
      <w:r w:rsidR="00793755">
        <w:rPr>
          <w:szCs w:val="24"/>
        </w:rPr>
        <w:t>rma gelirin</w:t>
      </w:r>
      <w:r w:rsidR="004B4592">
        <w:rPr>
          <w:szCs w:val="24"/>
        </w:rPr>
        <w:t xml:space="preserve"> payı ise yüzde 47,2’d</w:t>
      </w:r>
      <w:r w:rsidR="00141F4D">
        <w:rPr>
          <w:szCs w:val="24"/>
        </w:rPr>
        <w:t>en yüzde 4</w:t>
      </w:r>
      <w:r w:rsidR="004B4592">
        <w:rPr>
          <w:szCs w:val="24"/>
        </w:rPr>
        <w:t>4,6</w:t>
      </w:r>
      <w:r w:rsidRPr="005C3DCF">
        <w:rPr>
          <w:szCs w:val="24"/>
        </w:rPr>
        <w:t>'</w:t>
      </w:r>
      <w:r w:rsidR="004B4592">
        <w:rPr>
          <w:szCs w:val="24"/>
        </w:rPr>
        <w:t>ya</w:t>
      </w:r>
      <w:r w:rsidRPr="005C3DCF">
        <w:rPr>
          <w:szCs w:val="24"/>
        </w:rPr>
        <w:t xml:space="preserve"> düş</w:t>
      </w:r>
      <w:r w:rsidR="001B28A5" w:rsidRPr="005C3DCF">
        <w:rPr>
          <w:szCs w:val="24"/>
        </w:rPr>
        <w:t>müş</w:t>
      </w:r>
      <w:r w:rsidRPr="005C3DCF">
        <w:rPr>
          <w:szCs w:val="24"/>
        </w:rPr>
        <w:t>tü</w:t>
      </w:r>
      <w:r w:rsidR="001B28A5" w:rsidRPr="005C3DCF">
        <w:rPr>
          <w:szCs w:val="24"/>
        </w:rPr>
        <w:t>r</w:t>
      </w:r>
      <w:r w:rsidR="00115460" w:rsidRPr="005C3DCF">
        <w:rPr>
          <w:szCs w:val="24"/>
        </w:rPr>
        <w:t xml:space="preserve"> (Tablo 2).</w:t>
      </w:r>
      <w:r w:rsidR="006977BC">
        <w:rPr>
          <w:szCs w:val="24"/>
        </w:rPr>
        <w:t xml:space="preserve"> </w:t>
      </w:r>
    </w:p>
    <w:p w:rsidR="00B922F7" w:rsidRPr="00567194" w:rsidRDefault="00F92E63" w:rsidP="006977BC">
      <w:pPr>
        <w:jc w:val="left"/>
        <w:rPr>
          <w:rFonts w:cs="Times New Roman"/>
          <w:sz w:val="22"/>
        </w:rPr>
      </w:pPr>
      <w:r w:rsidRPr="006977BC">
        <w:rPr>
          <w:b/>
        </w:rPr>
        <w:t>Tablo 2 Gelir yöntemiyle GSYH bileşenlerinin Gayrisafi Katma De</w:t>
      </w:r>
      <w:r w:rsidR="00735E1C" w:rsidRPr="006977BC">
        <w:rPr>
          <w:b/>
        </w:rPr>
        <w:t xml:space="preserve">ğer içerisindeki payları, %, </w:t>
      </w:r>
      <w:r w:rsidR="00793755">
        <w:rPr>
          <w:b/>
        </w:rPr>
        <w:t>2018</w:t>
      </w:r>
      <w:r w:rsidR="000D3EEA" w:rsidRPr="006977BC">
        <w:rPr>
          <w:b/>
        </w:rPr>
        <w:t>-</w:t>
      </w:r>
      <w:r w:rsidR="00793755">
        <w:rPr>
          <w:b/>
        </w:rPr>
        <w:t>2019</w:t>
      </w:r>
    </w:p>
    <w:tbl>
      <w:tblPr>
        <w:tblW w:w="9417" w:type="dxa"/>
        <w:tblInd w:w="75" w:type="dxa"/>
        <w:tblCellMar>
          <w:left w:w="70" w:type="dxa"/>
          <w:right w:w="70" w:type="dxa"/>
        </w:tblCellMar>
        <w:tblLook w:val="04A0" w:firstRow="1" w:lastRow="0" w:firstColumn="1" w:lastColumn="0" w:noHBand="0" w:noVBand="1"/>
      </w:tblPr>
      <w:tblGrid>
        <w:gridCol w:w="1082"/>
        <w:gridCol w:w="1667"/>
        <w:gridCol w:w="1667"/>
        <w:gridCol w:w="1667"/>
        <w:gridCol w:w="1667"/>
        <w:gridCol w:w="1667"/>
      </w:tblGrid>
      <w:tr w:rsidR="00791F58" w:rsidRPr="00791F58" w:rsidTr="00791F58">
        <w:trPr>
          <w:trHeight w:val="1295"/>
        </w:trPr>
        <w:tc>
          <w:tcPr>
            <w:tcW w:w="1082" w:type="dxa"/>
            <w:tcBorders>
              <w:top w:val="single" w:sz="4" w:space="0" w:color="FFFFFF"/>
              <w:left w:val="single" w:sz="4" w:space="0" w:color="FFFFFF"/>
              <w:bottom w:val="single" w:sz="4" w:space="0" w:color="FFFFFF"/>
              <w:right w:val="single" w:sz="4" w:space="0" w:color="FFFFFF"/>
            </w:tcBorders>
            <w:shd w:val="clear" w:color="000000" w:fill="1F497D"/>
            <w:noWrap/>
            <w:vAlign w:val="center"/>
            <w:hideMark/>
          </w:tcPr>
          <w:p w:rsidR="00791F58" w:rsidRPr="00791F58" w:rsidRDefault="00791F58" w:rsidP="00791F58">
            <w:pPr>
              <w:spacing w:after="0" w:line="240" w:lineRule="auto"/>
              <w:jc w:val="center"/>
              <w:rPr>
                <w:rFonts w:eastAsia="Times New Roman" w:cs="Times New Roman"/>
                <w:b/>
                <w:bCs/>
                <w:color w:val="FFFFFF"/>
                <w:sz w:val="22"/>
              </w:rPr>
            </w:pPr>
            <w:r w:rsidRPr="00791F58">
              <w:rPr>
                <w:rFonts w:eastAsia="Times New Roman" w:cs="Times New Roman"/>
                <w:b/>
                <w:bCs/>
                <w:color w:val="FFFFFF"/>
                <w:sz w:val="22"/>
              </w:rPr>
              <w:t>Yıl</w:t>
            </w:r>
          </w:p>
        </w:tc>
        <w:tc>
          <w:tcPr>
            <w:tcW w:w="1667" w:type="dxa"/>
            <w:tcBorders>
              <w:top w:val="single" w:sz="4" w:space="0" w:color="FFFFFF"/>
              <w:left w:val="nil"/>
              <w:bottom w:val="single" w:sz="4" w:space="0" w:color="FFFFFF"/>
              <w:right w:val="single" w:sz="4" w:space="0" w:color="FFFFFF"/>
            </w:tcBorders>
            <w:shd w:val="clear" w:color="000000" w:fill="1F497D"/>
            <w:noWrap/>
            <w:vAlign w:val="center"/>
            <w:hideMark/>
          </w:tcPr>
          <w:p w:rsidR="00791F58" w:rsidRPr="00791F58" w:rsidRDefault="00791F58" w:rsidP="00791F58">
            <w:pPr>
              <w:spacing w:after="0" w:line="240" w:lineRule="auto"/>
              <w:jc w:val="center"/>
              <w:rPr>
                <w:rFonts w:eastAsia="Times New Roman" w:cs="Times New Roman"/>
                <w:b/>
                <w:bCs/>
                <w:color w:val="FFFFFF"/>
                <w:sz w:val="22"/>
              </w:rPr>
            </w:pPr>
            <w:r w:rsidRPr="00791F58">
              <w:rPr>
                <w:rFonts w:eastAsia="Times New Roman" w:cs="Times New Roman"/>
                <w:b/>
                <w:bCs/>
                <w:color w:val="FFFFFF"/>
                <w:sz w:val="22"/>
              </w:rPr>
              <w:t>Çeyrek</w:t>
            </w:r>
          </w:p>
        </w:tc>
        <w:tc>
          <w:tcPr>
            <w:tcW w:w="1667" w:type="dxa"/>
            <w:tcBorders>
              <w:top w:val="single" w:sz="4" w:space="0" w:color="FFFFFF"/>
              <w:left w:val="nil"/>
              <w:bottom w:val="single" w:sz="4" w:space="0" w:color="FFFFFF"/>
              <w:right w:val="single" w:sz="4" w:space="0" w:color="FFFFFF"/>
            </w:tcBorders>
            <w:shd w:val="clear" w:color="000000" w:fill="1F497D"/>
            <w:vAlign w:val="center"/>
            <w:hideMark/>
          </w:tcPr>
          <w:p w:rsidR="00791F58" w:rsidRPr="00791F58" w:rsidRDefault="00791F58" w:rsidP="00791F58">
            <w:pPr>
              <w:spacing w:after="0" w:line="240" w:lineRule="auto"/>
              <w:jc w:val="center"/>
              <w:rPr>
                <w:rFonts w:eastAsia="Times New Roman" w:cs="Times New Roman"/>
                <w:b/>
                <w:bCs/>
                <w:color w:val="FFFFFF"/>
                <w:sz w:val="22"/>
              </w:rPr>
            </w:pPr>
            <w:r w:rsidRPr="00791F58">
              <w:rPr>
                <w:rFonts w:eastAsia="Times New Roman" w:cs="Times New Roman"/>
                <w:b/>
                <w:bCs/>
                <w:color w:val="FFFFFF"/>
                <w:sz w:val="22"/>
              </w:rPr>
              <w:t>İşgücü ödemeleri</w:t>
            </w:r>
          </w:p>
        </w:tc>
        <w:tc>
          <w:tcPr>
            <w:tcW w:w="1667" w:type="dxa"/>
            <w:tcBorders>
              <w:top w:val="single" w:sz="4" w:space="0" w:color="FFFFFF"/>
              <w:left w:val="nil"/>
              <w:bottom w:val="single" w:sz="4" w:space="0" w:color="FFFFFF"/>
              <w:right w:val="single" w:sz="4" w:space="0" w:color="FFFFFF"/>
            </w:tcBorders>
            <w:shd w:val="clear" w:color="000000" w:fill="1F497D"/>
            <w:vAlign w:val="center"/>
            <w:hideMark/>
          </w:tcPr>
          <w:p w:rsidR="00791F58" w:rsidRPr="00791F58" w:rsidRDefault="00791F58" w:rsidP="00791F58">
            <w:pPr>
              <w:spacing w:after="0" w:line="240" w:lineRule="auto"/>
              <w:jc w:val="center"/>
              <w:rPr>
                <w:rFonts w:eastAsia="Times New Roman" w:cs="Times New Roman"/>
                <w:b/>
                <w:bCs/>
                <w:color w:val="FFFFFF"/>
                <w:sz w:val="22"/>
              </w:rPr>
            </w:pPr>
            <w:r w:rsidRPr="00791F58">
              <w:rPr>
                <w:rFonts w:eastAsia="Times New Roman" w:cs="Times New Roman"/>
                <w:b/>
                <w:bCs/>
                <w:color w:val="FFFFFF"/>
                <w:sz w:val="22"/>
              </w:rPr>
              <w:t>Üretim üzerindeki net vergiler</w:t>
            </w:r>
          </w:p>
        </w:tc>
        <w:tc>
          <w:tcPr>
            <w:tcW w:w="1667" w:type="dxa"/>
            <w:tcBorders>
              <w:top w:val="single" w:sz="4" w:space="0" w:color="FFFFFF"/>
              <w:left w:val="nil"/>
              <w:bottom w:val="single" w:sz="4" w:space="0" w:color="FFFFFF"/>
              <w:right w:val="single" w:sz="4" w:space="0" w:color="FFFFFF"/>
            </w:tcBorders>
            <w:shd w:val="clear" w:color="000000" w:fill="1F497D"/>
            <w:vAlign w:val="center"/>
            <w:hideMark/>
          </w:tcPr>
          <w:p w:rsidR="00791F58" w:rsidRPr="00791F58" w:rsidRDefault="00791F58" w:rsidP="00791F58">
            <w:pPr>
              <w:spacing w:after="0" w:line="240" w:lineRule="auto"/>
              <w:jc w:val="center"/>
              <w:rPr>
                <w:rFonts w:eastAsia="Times New Roman" w:cs="Times New Roman"/>
                <w:b/>
                <w:bCs/>
                <w:color w:val="FFFFFF"/>
                <w:sz w:val="22"/>
              </w:rPr>
            </w:pPr>
            <w:r w:rsidRPr="00791F58">
              <w:rPr>
                <w:rFonts w:eastAsia="Times New Roman" w:cs="Times New Roman"/>
                <w:b/>
                <w:bCs/>
                <w:color w:val="FFFFFF"/>
                <w:sz w:val="22"/>
              </w:rPr>
              <w:t>Sabit sermaye tüketimi</w:t>
            </w:r>
          </w:p>
        </w:tc>
        <w:tc>
          <w:tcPr>
            <w:tcW w:w="1667" w:type="dxa"/>
            <w:tcBorders>
              <w:top w:val="single" w:sz="4" w:space="0" w:color="FFFFFF"/>
              <w:left w:val="nil"/>
              <w:bottom w:val="single" w:sz="4" w:space="0" w:color="FFFFFF"/>
              <w:right w:val="single" w:sz="4" w:space="0" w:color="FFFFFF"/>
            </w:tcBorders>
            <w:shd w:val="clear" w:color="000000" w:fill="1F497D"/>
            <w:vAlign w:val="center"/>
            <w:hideMark/>
          </w:tcPr>
          <w:p w:rsidR="00791F58" w:rsidRPr="00791F58" w:rsidRDefault="00791F58" w:rsidP="00791F58">
            <w:pPr>
              <w:spacing w:after="0" w:line="240" w:lineRule="auto"/>
              <w:jc w:val="center"/>
              <w:rPr>
                <w:rFonts w:eastAsia="Times New Roman" w:cs="Times New Roman"/>
                <w:b/>
                <w:bCs/>
                <w:color w:val="FFFFFF"/>
                <w:sz w:val="22"/>
              </w:rPr>
            </w:pPr>
            <w:r w:rsidRPr="00791F58">
              <w:rPr>
                <w:rFonts w:eastAsia="Times New Roman" w:cs="Times New Roman"/>
                <w:b/>
                <w:bCs/>
                <w:color w:val="FFFFFF"/>
                <w:sz w:val="22"/>
              </w:rPr>
              <w:t>Net işletme artığı/Karma gelir</w:t>
            </w:r>
          </w:p>
        </w:tc>
      </w:tr>
      <w:tr w:rsidR="00791F58" w:rsidRPr="00791F58" w:rsidTr="00791F58">
        <w:trPr>
          <w:trHeight w:val="375"/>
        </w:trPr>
        <w:tc>
          <w:tcPr>
            <w:tcW w:w="1082" w:type="dxa"/>
            <w:vMerge w:val="restart"/>
            <w:tcBorders>
              <w:top w:val="nil"/>
              <w:left w:val="nil"/>
              <w:bottom w:val="single" w:sz="4" w:space="0" w:color="FFFFFF"/>
              <w:right w:val="single" w:sz="4" w:space="0" w:color="FFFFFF"/>
            </w:tcBorders>
            <w:shd w:val="clear" w:color="000000" w:fill="1F497D"/>
            <w:noWrap/>
            <w:vAlign w:val="center"/>
            <w:hideMark/>
          </w:tcPr>
          <w:p w:rsidR="00791F58" w:rsidRPr="00791F58" w:rsidRDefault="00791F58" w:rsidP="00791F58">
            <w:pPr>
              <w:spacing w:after="0" w:line="240" w:lineRule="auto"/>
              <w:jc w:val="center"/>
              <w:rPr>
                <w:rFonts w:eastAsia="Times New Roman" w:cs="Times New Roman"/>
                <w:b/>
                <w:bCs/>
                <w:color w:val="FFFFFF"/>
                <w:sz w:val="22"/>
              </w:rPr>
            </w:pPr>
            <w:r w:rsidRPr="00791F58">
              <w:rPr>
                <w:rFonts w:eastAsia="Times New Roman" w:cs="Times New Roman"/>
                <w:b/>
                <w:bCs/>
                <w:color w:val="FFFFFF"/>
                <w:sz w:val="22"/>
              </w:rPr>
              <w:t>2018</w:t>
            </w:r>
          </w:p>
        </w:tc>
        <w:tc>
          <w:tcPr>
            <w:tcW w:w="1667" w:type="dxa"/>
            <w:tcBorders>
              <w:top w:val="nil"/>
              <w:left w:val="nil"/>
              <w:bottom w:val="single" w:sz="4" w:space="0" w:color="FFFFFF"/>
              <w:right w:val="single" w:sz="4" w:space="0" w:color="FFFFFF"/>
            </w:tcBorders>
            <w:shd w:val="clear" w:color="000000" w:fill="95B3D7"/>
            <w:noWrap/>
            <w:vAlign w:val="center"/>
            <w:hideMark/>
          </w:tcPr>
          <w:p w:rsidR="00791F58" w:rsidRPr="00791F58" w:rsidRDefault="00791F58" w:rsidP="00791F58">
            <w:pPr>
              <w:spacing w:after="0" w:line="240" w:lineRule="auto"/>
              <w:jc w:val="center"/>
              <w:rPr>
                <w:rFonts w:eastAsia="Times New Roman" w:cs="Times New Roman"/>
                <w:b/>
                <w:bCs/>
                <w:color w:val="FFFFFF"/>
                <w:sz w:val="22"/>
              </w:rPr>
            </w:pPr>
            <w:r w:rsidRPr="00791F58">
              <w:rPr>
                <w:rFonts w:eastAsia="Times New Roman" w:cs="Times New Roman"/>
                <w:b/>
                <w:bCs/>
                <w:color w:val="FFFFFF"/>
                <w:sz w:val="22"/>
              </w:rPr>
              <w:t>I</w:t>
            </w:r>
          </w:p>
        </w:tc>
        <w:tc>
          <w:tcPr>
            <w:tcW w:w="1667" w:type="dxa"/>
            <w:tcBorders>
              <w:top w:val="nil"/>
              <w:left w:val="nil"/>
              <w:bottom w:val="single" w:sz="4" w:space="0" w:color="auto"/>
              <w:right w:val="single" w:sz="4" w:space="0" w:color="auto"/>
            </w:tcBorders>
            <w:shd w:val="clear" w:color="000000" w:fill="DCE6F1"/>
            <w:noWrap/>
            <w:vAlign w:val="bottom"/>
            <w:hideMark/>
          </w:tcPr>
          <w:p w:rsidR="00791F58" w:rsidRPr="00791F58" w:rsidRDefault="00791F58" w:rsidP="00791F58">
            <w:pPr>
              <w:spacing w:after="0" w:line="240" w:lineRule="auto"/>
              <w:jc w:val="center"/>
              <w:rPr>
                <w:rFonts w:eastAsia="Times New Roman" w:cs="Times New Roman"/>
                <w:color w:val="000000"/>
                <w:sz w:val="22"/>
              </w:rPr>
            </w:pPr>
            <w:r w:rsidRPr="00791F58">
              <w:rPr>
                <w:rFonts w:eastAsia="Times New Roman" w:cs="Times New Roman"/>
                <w:color w:val="000000"/>
                <w:sz w:val="22"/>
              </w:rPr>
              <w:t>38,2</w:t>
            </w:r>
          </w:p>
        </w:tc>
        <w:tc>
          <w:tcPr>
            <w:tcW w:w="1667" w:type="dxa"/>
            <w:tcBorders>
              <w:top w:val="nil"/>
              <w:left w:val="nil"/>
              <w:bottom w:val="single" w:sz="4" w:space="0" w:color="auto"/>
              <w:right w:val="single" w:sz="4" w:space="0" w:color="auto"/>
            </w:tcBorders>
            <w:shd w:val="clear" w:color="000000" w:fill="DCE6F1"/>
            <w:noWrap/>
            <w:vAlign w:val="bottom"/>
            <w:hideMark/>
          </w:tcPr>
          <w:p w:rsidR="00791F58" w:rsidRPr="00791F58" w:rsidRDefault="00791F58" w:rsidP="00791F58">
            <w:pPr>
              <w:spacing w:after="0" w:line="240" w:lineRule="auto"/>
              <w:jc w:val="center"/>
              <w:rPr>
                <w:rFonts w:eastAsia="Times New Roman" w:cs="Times New Roman"/>
                <w:color w:val="000000"/>
                <w:sz w:val="22"/>
              </w:rPr>
            </w:pPr>
            <w:r w:rsidRPr="00791F58">
              <w:rPr>
                <w:rFonts w:eastAsia="Times New Roman" w:cs="Times New Roman"/>
                <w:color w:val="000000"/>
                <w:sz w:val="22"/>
              </w:rPr>
              <w:t>-0,9</w:t>
            </w:r>
          </w:p>
        </w:tc>
        <w:tc>
          <w:tcPr>
            <w:tcW w:w="1667" w:type="dxa"/>
            <w:tcBorders>
              <w:top w:val="nil"/>
              <w:left w:val="nil"/>
              <w:bottom w:val="single" w:sz="4" w:space="0" w:color="auto"/>
              <w:right w:val="single" w:sz="4" w:space="0" w:color="auto"/>
            </w:tcBorders>
            <w:shd w:val="clear" w:color="000000" w:fill="DCE6F1"/>
            <w:noWrap/>
            <w:vAlign w:val="bottom"/>
            <w:hideMark/>
          </w:tcPr>
          <w:p w:rsidR="00791F58" w:rsidRPr="00791F58" w:rsidRDefault="00791F58" w:rsidP="00791F58">
            <w:pPr>
              <w:spacing w:after="0" w:line="240" w:lineRule="auto"/>
              <w:jc w:val="center"/>
              <w:rPr>
                <w:rFonts w:eastAsia="Times New Roman" w:cs="Times New Roman"/>
                <w:color w:val="000000"/>
                <w:sz w:val="22"/>
              </w:rPr>
            </w:pPr>
            <w:r w:rsidRPr="00791F58">
              <w:rPr>
                <w:rFonts w:eastAsia="Times New Roman" w:cs="Times New Roman"/>
                <w:color w:val="000000"/>
                <w:sz w:val="22"/>
              </w:rPr>
              <w:t>19,3</w:t>
            </w:r>
          </w:p>
        </w:tc>
        <w:tc>
          <w:tcPr>
            <w:tcW w:w="1667" w:type="dxa"/>
            <w:tcBorders>
              <w:top w:val="nil"/>
              <w:left w:val="nil"/>
              <w:bottom w:val="single" w:sz="4" w:space="0" w:color="auto"/>
              <w:right w:val="single" w:sz="4" w:space="0" w:color="auto"/>
            </w:tcBorders>
            <w:shd w:val="clear" w:color="000000" w:fill="DCE6F1"/>
            <w:noWrap/>
            <w:vAlign w:val="bottom"/>
            <w:hideMark/>
          </w:tcPr>
          <w:p w:rsidR="00791F58" w:rsidRPr="00791F58" w:rsidRDefault="00791F58" w:rsidP="00791F58">
            <w:pPr>
              <w:spacing w:after="0" w:line="240" w:lineRule="auto"/>
              <w:jc w:val="center"/>
              <w:rPr>
                <w:rFonts w:eastAsia="Times New Roman" w:cs="Times New Roman"/>
                <w:color w:val="000000"/>
                <w:sz w:val="22"/>
              </w:rPr>
            </w:pPr>
            <w:r w:rsidRPr="00791F58">
              <w:rPr>
                <w:rFonts w:eastAsia="Times New Roman" w:cs="Times New Roman"/>
                <w:color w:val="000000"/>
                <w:sz w:val="22"/>
              </w:rPr>
              <w:t>43,4</w:t>
            </w:r>
          </w:p>
        </w:tc>
      </w:tr>
      <w:tr w:rsidR="009B50C4" w:rsidRPr="00791F58" w:rsidTr="00791F58">
        <w:trPr>
          <w:trHeight w:val="375"/>
        </w:trPr>
        <w:tc>
          <w:tcPr>
            <w:tcW w:w="1082" w:type="dxa"/>
            <w:vMerge/>
            <w:tcBorders>
              <w:top w:val="nil"/>
              <w:left w:val="nil"/>
              <w:bottom w:val="single" w:sz="4" w:space="0" w:color="FFFFFF"/>
              <w:right w:val="single" w:sz="4" w:space="0" w:color="FFFFFF"/>
            </w:tcBorders>
            <w:vAlign w:val="center"/>
            <w:hideMark/>
          </w:tcPr>
          <w:p w:rsidR="009B50C4" w:rsidRPr="00791F58" w:rsidRDefault="009B50C4" w:rsidP="009B50C4">
            <w:pPr>
              <w:spacing w:after="0" w:line="240" w:lineRule="auto"/>
              <w:jc w:val="left"/>
              <w:rPr>
                <w:rFonts w:eastAsia="Times New Roman" w:cs="Times New Roman"/>
                <w:b/>
                <w:bCs/>
                <w:color w:val="FFFFFF"/>
                <w:sz w:val="22"/>
              </w:rPr>
            </w:pPr>
          </w:p>
        </w:tc>
        <w:tc>
          <w:tcPr>
            <w:tcW w:w="1667" w:type="dxa"/>
            <w:tcBorders>
              <w:top w:val="nil"/>
              <w:left w:val="nil"/>
              <w:bottom w:val="single" w:sz="4" w:space="0" w:color="FFFFFF"/>
              <w:right w:val="single" w:sz="4" w:space="0" w:color="FFFFFF"/>
            </w:tcBorders>
            <w:shd w:val="clear" w:color="000000" w:fill="95B3D7"/>
            <w:noWrap/>
            <w:vAlign w:val="center"/>
            <w:hideMark/>
          </w:tcPr>
          <w:p w:rsidR="009B50C4" w:rsidRPr="00791F58" w:rsidRDefault="009B50C4" w:rsidP="009B50C4">
            <w:pPr>
              <w:spacing w:after="0" w:line="240" w:lineRule="auto"/>
              <w:jc w:val="center"/>
              <w:rPr>
                <w:rFonts w:eastAsia="Times New Roman" w:cs="Times New Roman"/>
                <w:b/>
                <w:bCs/>
                <w:color w:val="FFFFFF"/>
                <w:sz w:val="22"/>
              </w:rPr>
            </w:pPr>
            <w:r w:rsidRPr="00791F58">
              <w:rPr>
                <w:rFonts w:eastAsia="Times New Roman" w:cs="Times New Roman"/>
                <w:b/>
                <w:bCs/>
                <w:color w:val="FFFFFF"/>
                <w:sz w:val="22"/>
              </w:rPr>
              <w:t>II</w:t>
            </w:r>
          </w:p>
        </w:tc>
        <w:tc>
          <w:tcPr>
            <w:tcW w:w="1667" w:type="dxa"/>
            <w:tcBorders>
              <w:top w:val="nil"/>
              <w:left w:val="nil"/>
              <w:bottom w:val="single" w:sz="4" w:space="0" w:color="auto"/>
              <w:right w:val="single" w:sz="4" w:space="0" w:color="auto"/>
            </w:tcBorders>
            <w:shd w:val="clear" w:color="000000" w:fill="DCE6F1"/>
            <w:noWrap/>
            <w:vAlign w:val="bottom"/>
            <w:hideMark/>
          </w:tcPr>
          <w:p w:rsidR="009B50C4" w:rsidRPr="00791F58" w:rsidRDefault="009B50C4" w:rsidP="009B50C4">
            <w:pPr>
              <w:spacing w:after="0" w:line="240" w:lineRule="auto"/>
              <w:jc w:val="center"/>
              <w:rPr>
                <w:rFonts w:eastAsia="Times New Roman" w:cs="Times New Roman"/>
                <w:color w:val="000000"/>
                <w:sz w:val="22"/>
              </w:rPr>
            </w:pPr>
            <w:r w:rsidRPr="00791F58">
              <w:rPr>
                <w:rFonts w:eastAsia="Times New Roman" w:cs="Times New Roman"/>
                <w:color w:val="000000"/>
                <w:sz w:val="22"/>
              </w:rPr>
              <w:t>35,6</w:t>
            </w:r>
          </w:p>
        </w:tc>
        <w:tc>
          <w:tcPr>
            <w:tcW w:w="1667" w:type="dxa"/>
            <w:tcBorders>
              <w:top w:val="nil"/>
              <w:left w:val="nil"/>
              <w:bottom w:val="single" w:sz="4" w:space="0" w:color="auto"/>
              <w:right w:val="single" w:sz="4" w:space="0" w:color="auto"/>
            </w:tcBorders>
            <w:shd w:val="clear" w:color="000000" w:fill="DCE6F1"/>
            <w:noWrap/>
            <w:vAlign w:val="bottom"/>
            <w:hideMark/>
          </w:tcPr>
          <w:p w:rsidR="009B50C4" w:rsidRPr="00791F58" w:rsidRDefault="009B50C4" w:rsidP="009B50C4">
            <w:pPr>
              <w:spacing w:after="0" w:line="240" w:lineRule="auto"/>
              <w:jc w:val="center"/>
              <w:rPr>
                <w:rFonts w:eastAsia="Times New Roman" w:cs="Times New Roman"/>
                <w:color w:val="000000"/>
                <w:sz w:val="22"/>
              </w:rPr>
            </w:pPr>
            <w:r w:rsidRPr="00791F58">
              <w:rPr>
                <w:rFonts w:eastAsia="Times New Roman" w:cs="Times New Roman"/>
                <w:color w:val="000000"/>
                <w:sz w:val="22"/>
              </w:rPr>
              <w:t>-1,0</w:t>
            </w:r>
          </w:p>
        </w:tc>
        <w:tc>
          <w:tcPr>
            <w:tcW w:w="1667" w:type="dxa"/>
            <w:tcBorders>
              <w:top w:val="nil"/>
              <w:left w:val="nil"/>
              <w:bottom w:val="single" w:sz="4" w:space="0" w:color="auto"/>
              <w:right w:val="single" w:sz="4" w:space="0" w:color="auto"/>
            </w:tcBorders>
            <w:shd w:val="clear" w:color="000000" w:fill="DCE6F1"/>
            <w:noWrap/>
            <w:vAlign w:val="bottom"/>
            <w:hideMark/>
          </w:tcPr>
          <w:p w:rsidR="009B50C4" w:rsidRPr="00791F58" w:rsidRDefault="009B50C4" w:rsidP="009B50C4">
            <w:pPr>
              <w:spacing w:after="0" w:line="240" w:lineRule="auto"/>
              <w:jc w:val="center"/>
              <w:rPr>
                <w:rFonts w:eastAsia="Times New Roman" w:cs="Times New Roman"/>
                <w:color w:val="000000"/>
                <w:sz w:val="22"/>
              </w:rPr>
            </w:pPr>
            <w:r w:rsidRPr="00791F58">
              <w:rPr>
                <w:rFonts w:eastAsia="Times New Roman" w:cs="Times New Roman"/>
                <w:color w:val="000000"/>
                <w:sz w:val="22"/>
              </w:rPr>
              <w:t>18,2</w:t>
            </w:r>
          </w:p>
        </w:tc>
        <w:tc>
          <w:tcPr>
            <w:tcW w:w="1667" w:type="dxa"/>
            <w:tcBorders>
              <w:top w:val="nil"/>
              <w:left w:val="nil"/>
              <w:bottom w:val="single" w:sz="4" w:space="0" w:color="auto"/>
              <w:right w:val="single" w:sz="4" w:space="0" w:color="auto"/>
            </w:tcBorders>
            <w:shd w:val="clear" w:color="000000" w:fill="DCE6F1"/>
            <w:noWrap/>
            <w:vAlign w:val="bottom"/>
            <w:hideMark/>
          </w:tcPr>
          <w:p w:rsidR="009B50C4" w:rsidRPr="00791F58" w:rsidRDefault="009B50C4" w:rsidP="009B50C4">
            <w:pPr>
              <w:spacing w:after="0" w:line="240" w:lineRule="auto"/>
              <w:jc w:val="center"/>
              <w:rPr>
                <w:rFonts w:eastAsia="Times New Roman" w:cs="Times New Roman"/>
                <w:color w:val="000000"/>
                <w:sz w:val="22"/>
              </w:rPr>
            </w:pPr>
            <w:r w:rsidRPr="00791F58">
              <w:rPr>
                <w:rFonts w:eastAsia="Times New Roman" w:cs="Times New Roman"/>
                <w:color w:val="000000"/>
                <w:sz w:val="22"/>
              </w:rPr>
              <w:t>47,2</w:t>
            </w:r>
          </w:p>
        </w:tc>
      </w:tr>
      <w:tr w:rsidR="002777CA" w:rsidRPr="00791F58" w:rsidTr="00791F58">
        <w:trPr>
          <w:trHeight w:val="375"/>
        </w:trPr>
        <w:tc>
          <w:tcPr>
            <w:tcW w:w="1082" w:type="dxa"/>
            <w:vMerge/>
            <w:tcBorders>
              <w:top w:val="nil"/>
              <w:left w:val="nil"/>
              <w:bottom w:val="single" w:sz="4" w:space="0" w:color="FFFFFF"/>
              <w:right w:val="single" w:sz="4" w:space="0" w:color="FFFFFF"/>
            </w:tcBorders>
            <w:vAlign w:val="center"/>
            <w:hideMark/>
          </w:tcPr>
          <w:p w:rsidR="002777CA" w:rsidRPr="00791F58" w:rsidRDefault="002777CA" w:rsidP="002777CA">
            <w:pPr>
              <w:spacing w:after="0" w:line="240" w:lineRule="auto"/>
              <w:jc w:val="left"/>
              <w:rPr>
                <w:rFonts w:eastAsia="Times New Roman" w:cs="Times New Roman"/>
                <w:b/>
                <w:bCs/>
                <w:color w:val="FFFFFF"/>
                <w:sz w:val="22"/>
              </w:rPr>
            </w:pPr>
          </w:p>
        </w:tc>
        <w:tc>
          <w:tcPr>
            <w:tcW w:w="1667" w:type="dxa"/>
            <w:tcBorders>
              <w:top w:val="nil"/>
              <w:left w:val="nil"/>
              <w:bottom w:val="single" w:sz="4" w:space="0" w:color="FFFFFF"/>
              <w:right w:val="single" w:sz="4" w:space="0" w:color="FFFFFF"/>
            </w:tcBorders>
            <w:shd w:val="clear" w:color="000000" w:fill="95B3D7"/>
            <w:noWrap/>
            <w:vAlign w:val="center"/>
            <w:hideMark/>
          </w:tcPr>
          <w:p w:rsidR="002777CA" w:rsidRPr="00791F58" w:rsidRDefault="002777CA" w:rsidP="002777CA">
            <w:pPr>
              <w:spacing w:after="0" w:line="240" w:lineRule="auto"/>
              <w:jc w:val="center"/>
              <w:rPr>
                <w:rFonts w:eastAsia="Times New Roman" w:cs="Times New Roman"/>
                <w:b/>
                <w:bCs/>
                <w:color w:val="FFFFFF"/>
                <w:sz w:val="22"/>
              </w:rPr>
            </w:pPr>
            <w:r w:rsidRPr="00791F58">
              <w:rPr>
                <w:rFonts w:eastAsia="Times New Roman" w:cs="Times New Roman"/>
                <w:b/>
                <w:bCs/>
                <w:color w:val="FFFFFF"/>
                <w:sz w:val="22"/>
              </w:rPr>
              <w:t>III</w:t>
            </w:r>
          </w:p>
        </w:tc>
        <w:tc>
          <w:tcPr>
            <w:tcW w:w="1667" w:type="dxa"/>
            <w:tcBorders>
              <w:top w:val="nil"/>
              <w:left w:val="nil"/>
              <w:bottom w:val="single" w:sz="4" w:space="0" w:color="auto"/>
              <w:right w:val="single" w:sz="4" w:space="0" w:color="auto"/>
            </w:tcBorders>
            <w:shd w:val="clear" w:color="000000" w:fill="DCE6F1"/>
            <w:noWrap/>
            <w:vAlign w:val="bottom"/>
            <w:hideMark/>
          </w:tcPr>
          <w:p w:rsidR="002777CA" w:rsidRPr="00791F58" w:rsidRDefault="002777CA" w:rsidP="002777CA">
            <w:pPr>
              <w:spacing w:after="0" w:line="240" w:lineRule="auto"/>
              <w:jc w:val="center"/>
              <w:rPr>
                <w:rFonts w:eastAsia="Times New Roman" w:cs="Times New Roman"/>
                <w:color w:val="000000"/>
                <w:sz w:val="22"/>
              </w:rPr>
            </w:pPr>
            <w:r w:rsidRPr="00791F58">
              <w:rPr>
                <w:rFonts w:eastAsia="Times New Roman" w:cs="Times New Roman"/>
                <w:color w:val="000000"/>
                <w:sz w:val="22"/>
              </w:rPr>
              <w:t>31,3</w:t>
            </w:r>
          </w:p>
        </w:tc>
        <w:tc>
          <w:tcPr>
            <w:tcW w:w="1667" w:type="dxa"/>
            <w:tcBorders>
              <w:top w:val="nil"/>
              <w:left w:val="nil"/>
              <w:bottom w:val="single" w:sz="4" w:space="0" w:color="auto"/>
              <w:right w:val="single" w:sz="4" w:space="0" w:color="auto"/>
            </w:tcBorders>
            <w:shd w:val="clear" w:color="000000" w:fill="DCE6F1"/>
            <w:noWrap/>
            <w:vAlign w:val="bottom"/>
            <w:hideMark/>
          </w:tcPr>
          <w:p w:rsidR="002777CA" w:rsidRPr="00791F58" w:rsidRDefault="002777CA" w:rsidP="002777CA">
            <w:pPr>
              <w:spacing w:after="0" w:line="240" w:lineRule="auto"/>
              <w:jc w:val="center"/>
              <w:rPr>
                <w:rFonts w:eastAsia="Times New Roman" w:cs="Times New Roman"/>
                <w:color w:val="000000"/>
                <w:sz w:val="22"/>
              </w:rPr>
            </w:pPr>
            <w:r w:rsidRPr="00791F58">
              <w:rPr>
                <w:rFonts w:eastAsia="Times New Roman" w:cs="Times New Roman"/>
                <w:color w:val="000000"/>
                <w:sz w:val="22"/>
              </w:rPr>
              <w:t>-0,4</w:t>
            </w:r>
          </w:p>
        </w:tc>
        <w:tc>
          <w:tcPr>
            <w:tcW w:w="1667" w:type="dxa"/>
            <w:tcBorders>
              <w:top w:val="nil"/>
              <w:left w:val="nil"/>
              <w:bottom w:val="single" w:sz="4" w:space="0" w:color="auto"/>
              <w:right w:val="single" w:sz="4" w:space="0" w:color="auto"/>
            </w:tcBorders>
            <w:shd w:val="clear" w:color="000000" w:fill="DCE6F1"/>
            <w:noWrap/>
            <w:vAlign w:val="bottom"/>
            <w:hideMark/>
          </w:tcPr>
          <w:p w:rsidR="002777CA" w:rsidRPr="00791F58" w:rsidRDefault="002777CA" w:rsidP="002777CA">
            <w:pPr>
              <w:spacing w:after="0" w:line="240" w:lineRule="auto"/>
              <w:jc w:val="center"/>
              <w:rPr>
                <w:rFonts w:eastAsia="Times New Roman" w:cs="Times New Roman"/>
                <w:color w:val="000000"/>
                <w:sz w:val="22"/>
              </w:rPr>
            </w:pPr>
            <w:r w:rsidRPr="00791F58">
              <w:rPr>
                <w:rFonts w:eastAsia="Times New Roman" w:cs="Times New Roman"/>
                <w:color w:val="000000"/>
                <w:sz w:val="22"/>
              </w:rPr>
              <w:t>17,1</w:t>
            </w:r>
          </w:p>
        </w:tc>
        <w:tc>
          <w:tcPr>
            <w:tcW w:w="1667" w:type="dxa"/>
            <w:tcBorders>
              <w:top w:val="nil"/>
              <w:left w:val="nil"/>
              <w:bottom w:val="single" w:sz="4" w:space="0" w:color="auto"/>
              <w:right w:val="single" w:sz="4" w:space="0" w:color="auto"/>
            </w:tcBorders>
            <w:shd w:val="clear" w:color="000000" w:fill="DCE6F1"/>
            <w:noWrap/>
            <w:vAlign w:val="bottom"/>
            <w:hideMark/>
          </w:tcPr>
          <w:p w:rsidR="002777CA" w:rsidRPr="00791F58" w:rsidRDefault="002777CA" w:rsidP="002777CA">
            <w:pPr>
              <w:spacing w:after="0" w:line="240" w:lineRule="auto"/>
              <w:jc w:val="center"/>
              <w:rPr>
                <w:rFonts w:eastAsia="Times New Roman" w:cs="Times New Roman"/>
                <w:color w:val="000000"/>
                <w:sz w:val="22"/>
              </w:rPr>
            </w:pPr>
            <w:r>
              <w:rPr>
                <w:rFonts w:eastAsia="Times New Roman" w:cs="Times New Roman"/>
                <w:color w:val="000000"/>
                <w:sz w:val="22"/>
              </w:rPr>
              <w:t>52,0</w:t>
            </w:r>
          </w:p>
        </w:tc>
      </w:tr>
      <w:tr w:rsidR="00791F58" w:rsidRPr="00791F58" w:rsidTr="00791F58">
        <w:trPr>
          <w:trHeight w:val="375"/>
        </w:trPr>
        <w:tc>
          <w:tcPr>
            <w:tcW w:w="1082" w:type="dxa"/>
            <w:vMerge/>
            <w:tcBorders>
              <w:top w:val="nil"/>
              <w:left w:val="nil"/>
              <w:bottom w:val="single" w:sz="4" w:space="0" w:color="FFFFFF"/>
              <w:right w:val="single" w:sz="4" w:space="0" w:color="FFFFFF"/>
            </w:tcBorders>
            <w:vAlign w:val="center"/>
            <w:hideMark/>
          </w:tcPr>
          <w:p w:rsidR="00791F58" w:rsidRPr="00791F58" w:rsidRDefault="00791F58" w:rsidP="00791F58">
            <w:pPr>
              <w:spacing w:after="0" w:line="240" w:lineRule="auto"/>
              <w:jc w:val="left"/>
              <w:rPr>
                <w:rFonts w:eastAsia="Times New Roman" w:cs="Times New Roman"/>
                <w:b/>
                <w:bCs/>
                <w:color w:val="FFFFFF"/>
                <w:sz w:val="22"/>
              </w:rPr>
            </w:pPr>
          </w:p>
        </w:tc>
        <w:tc>
          <w:tcPr>
            <w:tcW w:w="1667" w:type="dxa"/>
            <w:tcBorders>
              <w:top w:val="nil"/>
              <w:left w:val="nil"/>
              <w:bottom w:val="single" w:sz="4" w:space="0" w:color="FFFFFF"/>
              <w:right w:val="single" w:sz="4" w:space="0" w:color="FFFFFF"/>
            </w:tcBorders>
            <w:shd w:val="clear" w:color="000000" w:fill="95B3D7"/>
            <w:noWrap/>
            <w:vAlign w:val="center"/>
            <w:hideMark/>
          </w:tcPr>
          <w:p w:rsidR="00791F58" w:rsidRPr="00791F58" w:rsidRDefault="00791F58" w:rsidP="00791F58">
            <w:pPr>
              <w:spacing w:after="0" w:line="240" w:lineRule="auto"/>
              <w:jc w:val="center"/>
              <w:rPr>
                <w:rFonts w:eastAsia="Times New Roman" w:cs="Times New Roman"/>
                <w:b/>
                <w:bCs/>
                <w:color w:val="FFFFFF"/>
                <w:sz w:val="22"/>
              </w:rPr>
            </w:pPr>
            <w:r w:rsidRPr="00791F58">
              <w:rPr>
                <w:rFonts w:eastAsia="Times New Roman" w:cs="Times New Roman"/>
                <w:b/>
                <w:bCs/>
                <w:color w:val="FFFFFF"/>
                <w:sz w:val="22"/>
              </w:rPr>
              <w:t>IV</w:t>
            </w:r>
          </w:p>
        </w:tc>
        <w:tc>
          <w:tcPr>
            <w:tcW w:w="1667" w:type="dxa"/>
            <w:tcBorders>
              <w:top w:val="nil"/>
              <w:left w:val="nil"/>
              <w:bottom w:val="single" w:sz="4" w:space="0" w:color="auto"/>
              <w:right w:val="single" w:sz="4" w:space="0" w:color="auto"/>
            </w:tcBorders>
            <w:shd w:val="clear" w:color="000000" w:fill="DCE6F1"/>
            <w:noWrap/>
            <w:vAlign w:val="bottom"/>
            <w:hideMark/>
          </w:tcPr>
          <w:p w:rsidR="00791F58" w:rsidRPr="00791F58" w:rsidRDefault="00791F58" w:rsidP="00791F58">
            <w:pPr>
              <w:spacing w:after="0" w:line="240" w:lineRule="auto"/>
              <w:jc w:val="center"/>
              <w:rPr>
                <w:rFonts w:eastAsia="Times New Roman" w:cs="Times New Roman"/>
                <w:color w:val="000000"/>
                <w:sz w:val="22"/>
              </w:rPr>
            </w:pPr>
            <w:r w:rsidRPr="00791F58">
              <w:rPr>
                <w:rFonts w:eastAsia="Times New Roman" w:cs="Times New Roman"/>
                <w:color w:val="000000"/>
                <w:sz w:val="22"/>
              </w:rPr>
              <w:t>31,5</w:t>
            </w:r>
          </w:p>
        </w:tc>
        <w:tc>
          <w:tcPr>
            <w:tcW w:w="1667" w:type="dxa"/>
            <w:tcBorders>
              <w:top w:val="nil"/>
              <w:left w:val="nil"/>
              <w:bottom w:val="single" w:sz="4" w:space="0" w:color="auto"/>
              <w:right w:val="single" w:sz="4" w:space="0" w:color="auto"/>
            </w:tcBorders>
            <w:shd w:val="clear" w:color="000000" w:fill="DCE6F1"/>
            <w:noWrap/>
            <w:vAlign w:val="bottom"/>
            <w:hideMark/>
          </w:tcPr>
          <w:p w:rsidR="00791F58" w:rsidRPr="00791F58" w:rsidRDefault="00791F58" w:rsidP="00791F58">
            <w:pPr>
              <w:spacing w:after="0" w:line="240" w:lineRule="auto"/>
              <w:jc w:val="center"/>
              <w:rPr>
                <w:rFonts w:eastAsia="Times New Roman" w:cs="Times New Roman"/>
                <w:color w:val="000000"/>
                <w:sz w:val="22"/>
              </w:rPr>
            </w:pPr>
            <w:r w:rsidRPr="00791F58">
              <w:rPr>
                <w:rFonts w:eastAsia="Times New Roman" w:cs="Times New Roman"/>
                <w:color w:val="000000"/>
                <w:sz w:val="22"/>
              </w:rPr>
              <w:t>-0,8</w:t>
            </w:r>
          </w:p>
        </w:tc>
        <w:tc>
          <w:tcPr>
            <w:tcW w:w="1667" w:type="dxa"/>
            <w:tcBorders>
              <w:top w:val="nil"/>
              <w:left w:val="nil"/>
              <w:bottom w:val="single" w:sz="4" w:space="0" w:color="auto"/>
              <w:right w:val="single" w:sz="4" w:space="0" w:color="auto"/>
            </w:tcBorders>
            <w:shd w:val="clear" w:color="000000" w:fill="DCE6F1"/>
            <w:noWrap/>
            <w:vAlign w:val="bottom"/>
            <w:hideMark/>
          </w:tcPr>
          <w:p w:rsidR="00791F58" w:rsidRPr="00791F58" w:rsidRDefault="00791F58" w:rsidP="00791F58">
            <w:pPr>
              <w:spacing w:after="0" w:line="240" w:lineRule="auto"/>
              <w:jc w:val="center"/>
              <w:rPr>
                <w:rFonts w:eastAsia="Times New Roman" w:cs="Times New Roman"/>
                <w:color w:val="000000"/>
                <w:sz w:val="22"/>
              </w:rPr>
            </w:pPr>
            <w:r w:rsidRPr="00791F58">
              <w:rPr>
                <w:rFonts w:eastAsia="Times New Roman" w:cs="Times New Roman"/>
                <w:color w:val="000000"/>
                <w:sz w:val="22"/>
              </w:rPr>
              <w:t>18,5</w:t>
            </w:r>
          </w:p>
        </w:tc>
        <w:tc>
          <w:tcPr>
            <w:tcW w:w="1667" w:type="dxa"/>
            <w:tcBorders>
              <w:top w:val="nil"/>
              <w:left w:val="nil"/>
              <w:bottom w:val="single" w:sz="4" w:space="0" w:color="auto"/>
              <w:right w:val="single" w:sz="4" w:space="0" w:color="auto"/>
            </w:tcBorders>
            <w:shd w:val="clear" w:color="000000" w:fill="DCE6F1"/>
            <w:noWrap/>
            <w:vAlign w:val="bottom"/>
            <w:hideMark/>
          </w:tcPr>
          <w:p w:rsidR="00791F58" w:rsidRPr="00791F58" w:rsidRDefault="00791F58" w:rsidP="00791F58">
            <w:pPr>
              <w:spacing w:after="0" w:line="240" w:lineRule="auto"/>
              <w:jc w:val="center"/>
              <w:rPr>
                <w:rFonts w:eastAsia="Times New Roman" w:cs="Times New Roman"/>
                <w:color w:val="000000"/>
                <w:sz w:val="22"/>
              </w:rPr>
            </w:pPr>
            <w:r w:rsidRPr="00791F58">
              <w:rPr>
                <w:rFonts w:eastAsia="Times New Roman" w:cs="Times New Roman"/>
                <w:color w:val="000000"/>
                <w:sz w:val="22"/>
              </w:rPr>
              <w:t>50,7</w:t>
            </w:r>
          </w:p>
        </w:tc>
      </w:tr>
      <w:tr w:rsidR="00791F58" w:rsidRPr="00791F58" w:rsidTr="00791F58">
        <w:trPr>
          <w:trHeight w:val="375"/>
        </w:trPr>
        <w:tc>
          <w:tcPr>
            <w:tcW w:w="1082" w:type="dxa"/>
            <w:vMerge/>
            <w:tcBorders>
              <w:top w:val="nil"/>
              <w:left w:val="nil"/>
              <w:bottom w:val="single" w:sz="4" w:space="0" w:color="FFFFFF"/>
              <w:right w:val="single" w:sz="4" w:space="0" w:color="FFFFFF"/>
            </w:tcBorders>
            <w:vAlign w:val="center"/>
            <w:hideMark/>
          </w:tcPr>
          <w:p w:rsidR="00791F58" w:rsidRPr="00791F58" w:rsidRDefault="00791F58" w:rsidP="00791F58">
            <w:pPr>
              <w:spacing w:after="0" w:line="240" w:lineRule="auto"/>
              <w:jc w:val="left"/>
              <w:rPr>
                <w:rFonts w:eastAsia="Times New Roman" w:cs="Times New Roman"/>
                <w:b/>
                <w:bCs/>
                <w:color w:val="FFFFFF"/>
                <w:sz w:val="22"/>
              </w:rPr>
            </w:pPr>
          </w:p>
        </w:tc>
        <w:tc>
          <w:tcPr>
            <w:tcW w:w="1667" w:type="dxa"/>
            <w:tcBorders>
              <w:top w:val="nil"/>
              <w:left w:val="nil"/>
              <w:bottom w:val="single" w:sz="4" w:space="0" w:color="FFFFFF"/>
              <w:right w:val="single" w:sz="4" w:space="0" w:color="FFFFFF"/>
            </w:tcBorders>
            <w:shd w:val="clear" w:color="000000" w:fill="95B3D7"/>
            <w:noWrap/>
            <w:vAlign w:val="center"/>
            <w:hideMark/>
          </w:tcPr>
          <w:p w:rsidR="00791F58" w:rsidRPr="00791F58" w:rsidRDefault="00791F58" w:rsidP="00791F58">
            <w:pPr>
              <w:spacing w:after="0" w:line="240" w:lineRule="auto"/>
              <w:jc w:val="center"/>
              <w:rPr>
                <w:rFonts w:eastAsia="Times New Roman" w:cs="Times New Roman"/>
                <w:b/>
                <w:bCs/>
                <w:color w:val="FFFFFF"/>
                <w:sz w:val="22"/>
              </w:rPr>
            </w:pPr>
            <w:r w:rsidRPr="00791F58">
              <w:rPr>
                <w:rFonts w:eastAsia="Times New Roman" w:cs="Times New Roman"/>
                <w:b/>
                <w:bCs/>
                <w:color w:val="FFFFFF"/>
                <w:sz w:val="22"/>
              </w:rPr>
              <w:t>Yıllık</w:t>
            </w:r>
          </w:p>
        </w:tc>
        <w:tc>
          <w:tcPr>
            <w:tcW w:w="1667" w:type="dxa"/>
            <w:tcBorders>
              <w:top w:val="nil"/>
              <w:left w:val="nil"/>
              <w:bottom w:val="single" w:sz="4" w:space="0" w:color="auto"/>
              <w:right w:val="single" w:sz="4" w:space="0" w:color="auto"/>
            </w:tcBorders>
            <w:shd w:val="clear" w:color="000000" w:fill="DCE6F1"/>
            <w:noWrap/>
            <w:vAlign w:val="bottom"/>
            <w:hideMark/>
          </w:tcPr>
          <w:p w:rsidR="00791F58" w:rsidRPr="00791F58" w:rsidRDefault="00791F58" w:rsidP="00791F58">
            <w:pPr>
              <w:spacing w:after="0" w:line="240" w:lineRule="auto"/>
              <w:jc w:val="center"/>
              <w:rPr>
                <w:rFonts w:eastAsia="Times New Roman" w:cs="Times New Roman"/>
                <w:color w:val="000000"/>
                <w:sz w:val="22"/>
              </w:rPr>
            </w:pPr>
            <w:r w:rsidRPr="00791F58">
              <w:rPr>
                <w:rFonts w:eastAsia="Times New Roman" w:cs="Times New Roman"/>
                <w:color w:val="000000"/>
                <w:sz w:val="22"/>
              </w:rPr>
              <w:t>34,1</w:t>
            </w:r>
          </w:p>
        </w:tc>
        <w:tc>
          <w:tcPr>
            <w:tcW w:w="1667" w:type="dxa"/>
            <w:tcBorders>
              <w:top w:val="nil"/>
              <w:left w:val="nil"/>
              <w:bottom w:val="single" w:sz="4" w:space="0" w:color="auto"/>
              <w:right w:val="single" w:sz="4" w:space="0" w:color="auto"/>
            </w:tcBorders>
            <w:shd w:val="clear" w:color="000000" w:fill="DCE6F1"/>
            <w:noWrap/>
            <w:vAlign w:val="bottom"/>
            <w:hideMark/>
          </w:tcPr>
          <w:p w:rsidR="00791F58" w:rsidRPr="00791F58" w:rsidRDefault="00791F58" w:rsidP="00791F58">
            <w:pPr>
              <w:spacing w:after="0" w:line="240" w:lineRule="auto"/>
              <w:jc w:val="center"/>
              <w:rPr>
                <w:rFonts w:eastAsia="Times New Roman" w:cs="Times New Roman"/>
                <w:color w:val="000000"/>
                <w:sz w:val="22"/>
              </w:rPr>
            </w:pPr>
            <w:r w:rsidRPr="00791F58">
              <w:rPr>
                <w:rFonts w:eastAsia="Times New Roman" w:cs="Times New Roman"/>
                <w:color w:val="000000"/>
                <w:sz w:val="22"/>
              </w:rPr>
              <w:t>-0,8</w:t>
            </w:r>
          </w:p>
        </w:tc>
        <w:tc>
          <w:tcPr>
            <w:tcW w:w="1667" w:type="dxa"/>
            <w:tcBorders>
              <w:top w:val="nil"/>
              <w:left w:val="nil"/>
              <w:bottom w:val="single" w:sz="4" w:space="0" w:color="auto"/>
              <w:right w:val="single" w:sz="4" w:space="0" w:color="auto"/>
            </w:tcBorders>
            <w:shd w:val="clear" w:color="000000" w:fill="DCE6F1"/>
            <w:noWrap/>
            <w:vAlign w:val="bottom"/>
            <w:hideMark/>
          </w:tcPr>
          <w:p w:rsidR="00791F58" w:rsidRPr="00791F58" w:rsidRDefault="00791F58" w:rsidP="00791F58">
            <w:pPr>
              <w:spacing w:after="0" w:line="240" w:lineRule="auto"/>
              <w:jc w:val="center"/>
              <w:rPr>
                <w:rFonts w:eastAsia="Times New Roman" w:cs="Times New Roman"/>
                <w:color w:val="000000"/>
                <w:sz w:val="22"/>
              </w:rPr>
            </w:pPr>
            <w:r w:rsidRPr="00791F58">
              <w:rPr>
                <w:rFonts w:eastAsia="Times New Roman" w:cs="Times New Roman"/>
                <w:color w:val="000000"/>
                <w:sz w:val="22"/>
              </w:rPr>
              <w:t>18,3</w:t>
            </w:r>
          </w:p>
        </w:tc>
        <w:tc>
          <w:tcPr>
            <w:tcW w:w="1667" w:type="dxa"/>
            <w:tcBorders>
              <w:top w:val="nil"/>
              <w:left w:val="nil"/>
              <w:bottom w:val="single" w:sz="4" w:space="0" w:color="auto"/>
              <w:right w:val="single" w:sz="4" w:space="0" w:color="auto"/>
            </w:tcBorders>
            <w:shd w:val="clear" w:color="000000" w:fill="DCE6F1"/>
            <w:noWrap/>
            <w:vAlign w:val="bottom"/>
            <w:hideMark/>
          </w:tcPr>
          <w:p w:rsidR="00791F58" w:rsidRPr="00791F58" w:rsidRDefault="00791F58" w:rsidP="00791F58">
            <w:pPr>
              <w:spacing w:after="0" w:line="240" w:lineRule="auto"/>
              <w:jc w:val="center"/>
              <w:rPr>
                <w:rFonts w:eastAsia="Times New Roman" w:cs="Times New Roman"/>
                <w:color w:val="000000"/>
                <w:sz w:val="22"/>
              </w:rPr>
            </w:pPr>
            <w:r w:rsidRPr="00791F58">
              <w:rPr>
                <w:rFonts w:eastAsia="Times New Roman" w:cs="Times New Roman"/>
                <w:color w:val="000000"/>
                <w:sz w:val="22"/>
              </w:rPr>
              <w:t>48,3</w:t>
            </w:r>
          </w:p>
        </w:tc>
      </w:tr>
      <w:tr w:rsidR="00791F58" w:rsidRPr="00791F58" w:rsidTr="00791F58">
        <w:trPr>
          <w:trHeight w:val="450"/>
        </w:trPr>
        <w:tc>
          <w:tcPr>
            <w:tcW w:w="1082" w:type="dxa"/>
            <w:vMerge w:val="restart"/>
            <w:tcBorders>
              <w:top w:val="nil"/>
              <w:left w:val="nil"/>
              <w:bottom w:val="nil"/>
              <w:right w:val="single" w:sz="4" w:space="0" w:color="FFFFFF"/>
            </w:tcBorders>
            <w:shd w:val="clear" w:color="000000" w:fill="1F497D"/>
            <w:noWrap/>
            <w:vAlign w:val="center"/>
            <w:hideMark/>
          </w:tcPr>
          <w:p w:rsidR="00791F58" w:rsidRPr="00791F58" w:rsidRDefault="00791F58" w:rsidP="00791F58">
            <w:pPr>
              <w:spacing w:after="0" w:line="240" w:lineRule="auto"/>
              <w:jc w:val="center"/>
              <w:rPr>
                <w:rFonts w:eastAsia="Times New Roman" w:cs="Times New Roman"/>
                <w:b/>
                <w:bCs/>
                <w:color w:val="FFFFFF"/>
                <w:sz w:val="22"/>
              </w:rPr>
            </w:pPr>
            <w:r w:rsidRPr="00791F58">
              <w:rPr>
                <w:rFonts w:eastAsia="Times New Roman" w:cs="Times New Roman"/>
                <w:b/>
                <w:bCs/>
                <w:color w:val="FFFFFF"/>
                <w:sz w:val="22"/>
              </w:rPr>
              <w:t>2019</w:t>
            </w:r>
          </w:p>
        </w:tc>
        <w:tc>
          <w:tcPr>
            <w:tcW w:w="1667" w:type="dxa"/>
            <w:tcBorders>
              <w:top w:val="nil"/>
              <w:left w:val="nil"/>
              <w:bottom w:val="single" w:sz="4" w:space="0" w:color="FFFFFF"/>
              <w:right w:val="single" w:sz="4" w:space="0" w:color="FFFFFF"/>
            </w:tcBorders>
            <w:shd w:val="clear" w:color="000000" w:fill="95B3D7"/>
            <w:noWrap/>
            <w:vAlign w:val="center"/>
            <w:hideMark/>
          </w:tcPr>
          <w:p w:rsidR="00791F58" w:rsidRPr="00791F58" w:rsidRDefault="00791F58" w:rsidP="00791F58">
            <w:pPr>
              <w:spacing w:after="0" w:line="240" w:lineRule="auto"/>
              <w:jc w:val="center"/>
              <w:rPr>
                <w:rFonts w:eastAsia="Times New Roman" w:cs="Times New Roman"/>
                <w:b/>
                <w:bCs/>
                <w:color w:val="FFFFFF"/>
                <w:sz w:val="22"/>
              </w:rPr>
            </w:pPr>
            <w:r w:rsidRPr="00791F58">
              <w:rPr>
                <w:rFonts w:eastAsia="Times New Roman" w:cs="Times New Roman"/>
                <w:b/>
                <w:bCs/>
                <w:color w:val="FFFFFF"/>
                <w:sz w:val="22"/>
              </w:rPr>
              <w:t>I</w:t>
            </w:r>
          </w:p>
        </w:tc>
        <w:tc>
          <w:tcPr>
            <w:tcW w:w="1667" w:type="dxa"/>
            <w:tcBorders>
              <w:top w:val="nil"/>
              <w:left w:val="nil"/>
              <w:bottom w:val="single" w:sz="4" w:space="0" w:color="auto"/>
              <w:right w:val="single" w:sz="4" w:space="0" w:color="auto"/>
            </w:tcBorders>
            <w:shd w:val="clear" w:color="000000" w:fill="DCE6F1"/>
            <w:noWrap/>
            <w:vAlign w:val="bottom"/>
            <w:hideMark/>
          </w:tcPr>
          <w:p w:rsidR="00791F58" w:rsidRPr="00791F58" w:rsidRDefault="00791F58" w:rsidP="00791F58">
            <w:pPr>
              <w:spacing w:after="0" w:line="240" w:lineRule="auto"/>
              <w:jc w:val="center"/>
              <w:rPr>
                <w:rFonts w:eastAsia="Times New Roman" w:cs="Times New Roman"/>
                <w:color w:val="000000"/>
                <w:sz w:val="22"/>
              </w:rPr>
            </w:pPr>
            <w:r w:rsidRPr="00791F58">
              <w:rPr>
                <w:rFonts w:eastAsia="Times New Roman" w:cs="Times New Roman"/>
                <w:color w:val="000000"/>
                <w:sz w:val="22"/>
              </w:rPr>
              <w:t>39,2</w:t>
            </w:r>
          </w:p>
        </w:tc>
        <w:tc>
          <w:tcPr>
            <w:tcW w:w="1667" w:type="dxa"/>
            <w:tcBorders>
              <w:top w:val="nil"/>
              <w:left w:val="nil"/>
              <w:bottom w:val="single" w:sz="4" w:space="0" w:color="auto"/>
              <w:right w:val="single" w:sz="4" w:space="0" w:color="auto"/>
            </w:tcBorders>
            <w:shd w:val="clear" w:color="000000" w:fill="DCE6F1"/>
            <w:noWrap/>
            <w:vAlign w:val="bottom"/>
            <w:hideMark/>
          </w:tcPr>
          <w:p w:rsidR="00791F58" w:rsidRPr="00791F58" w:rsidRDefault="00791F58" w:rsidP="00791F58">
            <w:pPr>
              <w:spacing w:after="0" w:line="240" w:lineRule="auto"/>
              <w:jc w:val="center"/>
              <w:rPr>
                <w:rFonts w:eastAsia="Times New Roman" w:cs="Times New Roman"/>
                <w:color w:val="000000"/>
                <w:sz w:val="22"/>
              </w:rPr>
            </w:pPr>
            <w:r w:rsidRPr="00791F58">
              <w:rPr>
                <w:rFonts w:eastAsia="Times New Roman" w:cs="Times New Roman"/>
                <w:color w:val="000000"/>
                <w:sz w:val="22"/>
              </w:rPr>
              <w:t>-0,9</w:t>
            </w:r>
          </w:p>
        </w:tc>
        <w:tc>
          <w:tcPr>
            <w:tcW w:w="1667" w:type="dxa"/>
            <w:tcBorders>
              <w:top w:val="nil"/>
              <w:left w:val="nil"/>
              <w:bottom w:val="single" w:sz="4" w:space="0" w:color="auto"/>
              <w:right w:val="single" w:sz="4" w:space="0" w:color="auto"/>
            </w:tcBorders>
            <w:shd w:val="clear" w:color="000000" w:fill="DCE6F1"/>
            <w:noWrap/>
            <w:vAlign w:val="bottom"/>
            <w:hideMark/>
          </w:tcPr>
          <w:p w:rsidR="00791F58" w:rsidRPr="00791F58" w:rsidRDefault="00791F58" w:rsidP="00791F58">
            <w:pPr>
              <w:spacing w:after="0" w:line="240" w:lineRule="auto"/>
              <w:jc w:val="center"/>
              <w:rPr>
                <w:rFonts w:eastAsia="Times New Roman" w:cs="Times New Roman"/>
                <w:color w:val="000000"/>
                <w:sz w:val="22"/>
              </w:rPr>
            </w:pPr>
            <w:r w:rsidRPr="00791F58">
              <w:rPr>
                <w:rFonts w:eastAsia="Times New Roman" w:cs="Times New Roman"/>
                <w:color w:val="000000"/>
                <w:sz w:val="22"/>
              </w:rPr>
              <w:t>21,2</w:t>
            </w:r>
          </w:p>
        </w:tc>
        <w:tc>
          <w:tcPr>
            <w:tcW w:w="1667" w:type="dxa"/>
            <w:tcBorders>
              <w:top w:val="nil"/>
              <w:left w:val="nil"/>
              <w:bottom w:val="single" w:sz="4" w:space="0" w:color="auto"/>
              <w:right w:val="single" w:sz="4" w:space="0" w:color="auto"/>
            </w:tcBorders>
            <w:shd w:val="clear" w:color="000000" w:fill="DCE6F1"/>
            <w:noWrap/>
            <w:vAlign w:val="bottom"/>
            <w:hideMark/>
          </w:tcPr>
          <w:p w:rsidR="00791F58" w:rsidRPr="00791F58" w:rsidRDefault="00791F58" w:rsidP="00791F58">
            <w:pPr>
              <w:spacing w:after="0" w:line="240" w:lineRule="auto"/>
              <w:jc w:val="center"/>
              <w:rPr>
                <w:rFonts w:eastAsia="Times New Roman" w:cs="Times New Roman"/>
                <w:color w:val="000000"/>
                <w:sz w:val="22"/>
              </w:rPr>
            </w:pPr>
            <w:r w:rsidRPr="00791F58">
              <w:rPr>
                <w:rFonts w:eastAsia="Times New Roman" w:cs="Times New Roman"/>
                <w:color w:val="000000"/>
                <w:sz w:val="22"/>
              </w:rPr>
              <w:t>40,4</w:t>
            </w:r>
          </w:p>
        </w:tc>
      </w:tr>
      <w:tr w:rsidR="00791F58" w:rsidRPr="00791F58" w:rsidTr="00791F58">
        <w:trPr>
          <w:trHeight w:val="375"/>
        </w:trPr>
        <w:tc>
          <w:tcPr>
            <w:tcW w:w="1082" w:type="dxa"/>
            <w:vMerge/>
            <w:tcBorders>
              <w:top w:val="nil"/>
              <w:left w:val="nil"/>
              <w:bottom w:val="nil"/>
              <w:right w:val="single" w:sz="4" w:space="0" w:color="FFFFFF"/>
            </w:tcBorders>
            <w:vAlign w:val="center"/>
            <w:hideMark/>
          </w:tcPr>
          <w:p w:rsidR="00791F58" w:rsidRPr="00791F58" w:rsidRDefault="00791F58" w:rsidP="00791F58">
            <w:pPr>
              <w:spacing w:after="0" w:line="240" w:lineRule="auto"/>
              <w:jc w:val="left"/>
              <w:rPr>
                <w:rFonts w:eastAsia="Times New Roman" w:cs="Times New Roman"/>
                <w:b/>
                <w:bCs/>
                <w:color w:val="FFFFFF"/>
                <w:sz w:val="22"/>
              </w:rPr>
            </w:pPr>
          </w:p>
        </w:tc>
        <w:tc>
          <w:tcPr>
            <w:tcW w:w="1667" w:type="dxa"/>
            <w:tcBorders>
              <w:top w:val="nil"/>
              <w:left w:val="nil"/>
              <w:bottom w:val="single" w:sz="4" w:space="0" w:color="FFFFFF"/>
              <w:right w:val="single" w:sz="4" w:space="0" w:color="FFFFFF"/>
            </w:tcBorders>
            <w:shd w:val="clear" w:color="000000" w:fill="95B3D7"/>
            <w:noWrap/>
            <w:vAlign w:val="center"/>
            <w:hideMark/>
          </w:tcPr>
          <w:p w:rsidR="00791F58" w:rsidRPr="00791F58" w:rsidRDefault="00791F58" w:rsidP="00791F58">
            <w:pPr>
              <w:spacing w:after="0" w:line="240" w:lineRule="auto"/>
              <w:jc w:val="center"/>
              <w:rPr>
                <w:rFonts w:eastAsia="Times New Roman" w:cs="Times New Roman"/>
                <w:b/>
                <w:bCs/>
                <w:color w:val="FFFFFF"/>
                <w:sz w:val="22"/>
              </w:rPr>
            </w:pPr>
            <w:r w:rsidRPr="00791F58">
              <w:rPr>
                <w:rFonts w:eastAsia="Times New Roman" w:cs="Times New Roman"/>
                <w:b/>
                <w:bCs/>
                <w:color w:val="FFFFFF"/>
                <w:sz w:val="22"/>
              </w:rPr>
              <w:t>II</w:t>
            </w:r>
          </w:p>
        </w:tc>
        <w:tc>
          <w:tcPr>
            <w:tcW w:w="1667" w:type="dxa"/>
            <w:tcBorders>
              <w:top w:val="nil"/>
              <w:left w:val="nil"/>
              <w:bottom w:val="single" w:sz="4" w:space="0" w:color="auto"/>
              <w:right w:val="single" w:sz="4" w:space="0" w:color="auto"/>
            </w:tcBorders>
            <w:shd w:val="clear" w:color="000000" w:fill="DCE6F1"/>
            <w:noWrap/>
            <w:vAlign w:val="bottom"/>
            <w:hideMark/>
          </w:tcPr>
          <w:p w:rsidR="00791F58" w:rsidRPr="00791F58" w:rsidRDefault="00791F58" w:rsidP="00791F58">
            <w:pPr>
              <w:spacing w:after="0" w:line="240" w:lineRule="auto"/>
              <w:jc w:val="center"/>
              <w:rPr>
                <w:rFonts w:eastAsia="Times New Roman" w:cs="Times New Roman"/>
                <w:color w:val="000000"/>
                <w:sz w:val="22"/>
              </w:rPr>
            </w:pPr>
            <w:r w:rsidRPr="00791F58">
              <w:rPr>
                <w:rFonts w:eastAsia="Times New Roman" w:cs="Times New Roman"/>
                <w:color w:val="000000"/>
                <w:sz w:val="22"/>
              </w:rPr>
              <w:t>37,1</w:t>
            </w:r>
          </w:p>
        </w:tc>
        <w:tc>
          <w:tcPr>
            <w:tcW w:w="1667" w:type="dxa"/>
            <w:tcBorders>
              <w:top w:val="nil"/>
              <w:left w:val="nil"/>
              <w:bottom w:val="single" w:sz="4" w:space="0" w:color="auto"/>
              <w:right w:val="single" w:sz="4" w:space="0" w:color="auto"/>
            </w:tcBorders>
            <w:shd w:val="clear" w:color="000000" w:fill="DCE6F1"/>
            <w:noWrap/>
            <w:vAlign w:val="bottom"/>
            <w:hideMark/>
          </w:tcPr>
          <w:p w:rsidR="00791F58" w:rsidRPr="00791F58" w:rsidRDefault="00791F58" w:rsidP="00791F58">
            <w:pPr>
              <w:spacing w:after="0" w:line="240" w:lineRule="auto"/>
              <w:jc w:val="center"/>
              <w:rPr>
                <w:rFonts w:eastAsia="Times New Roman" w:cs="Times New Roman"/>
                <w:color w:val="000000"/>
                <w:sz w:val="22"/>
              </w:rPr>
            </w:pPr>
            <w:r w:rsidRPr="00791F58">
              <w:rPr>
                <w:rFonts w:eastAsia="Times New Roman" w:cs="Times New Roman"/>
                <w:color w:val="000000"/>
                <w:sz w:val="22"/>
              </w:rPr>
              <w:t>-1,0</w:t>
            </w:r>
          </w:p>
        </w:tc>
        <w:tc>
          <w:tcPr>
            <w:tcW w:w="1667" w:type="dxa"/>
            <w:tcBorders>
              <w:top w:val="nil"/>
              <w:left w:val="nil"/>
              <w:bottom w:val="single" w:sz="4" w:space="0" w:color="auto"/>
              <w:right w:val="single" w:sz="4" w:space="0" w:color="auto"/>
            </w:tcBorders>
            <w:shd w:val="clear" w:color="000000" w:fill="DCE6F1"/>
            <w:noWrap/>
            <w:vAlign w:val="bottom"/>
            <w:hideMark/>
          </w:tcPr>
          <w:p w:rsidR="00791F58" w:rsidRPr="00791F58" w:rsidRDefault="00791F58" w:rsidP="00791F58">
            <w:pPr>
              <w:spacing w:after="0" w:line="240" w:lineRule="auto"/>
              <w:jc w:val="center"/>
              <w:rPr>
                <w:rFonts w:eastAsia="Times New Roman" w:cs="Times New Roman"/>
                <w:color w:val="000000"/>
                <w:sz w:val="22"/>
              </w:rPr>
            </w:pPr>
            <w:r w:rsidRPr="00791F58">
              <w:rPr>
                <w:rFonts w:eastAsia="Times New Roman" w:cs="Times New Roman"/>
                <w:color w:val="000000"/>
                <w:sz w:val="22"/>
              </w:rPr>
              <w:t>19,3</w:t>
            </w:r>
          </w:p>
        </w:tc>
        <w:tc>
          <w:tcPr>
            <w:tcW w:w="1667" w:type="dxa"/>
            <w:tcBorders>
              <w:top w:val="nil"/>
              <w:left w:val="nil"/>
              <w:bottom w:val="single" w:sz="4" w:space="0" w:color="auto"/>
              <w:right w:val="single" w:sz="4" w:space="0" w:color="auto"/>
            </w:tcBorders>
            <w:shd w:val="clear" w:color="000000" w:fill="DCE6F1"/>
            <w:noWrap/>
            <w:vAlign w:val="bottom"/>
            <w:hideMark/>
          </w:tcPr>
          <w:p w:rsidR="00791F58" w:rsidRPr="00791F58" w:rsidRDefault="00791F58" w:rsidP="00791F58">
            <w:pPr>
              <w:spacing w:after="0" w:line="240" w:lineRule="auto"/>
              <w:jc w:val="center"/>
              <w:rPr>
                <w:rFonts w:eastAsia="Times New Roman" w:cs="Times New Roman"/>
                <w:color w:val="000000"/>
                <w:sz w:val="22"/>
              </w:rPr>
            </w:pPr>
            <w:r w:rsidRPr="00791F58">
              <w:rPr>
                <w:rFonts w:eastAsia="Times New Roman" w:cs="Times New Roman"/>
                <w:color w:val="000000"/>
                <w:sz w:val="22"/>
              </w:rPr>
              <w:t>44,6</w:t>
            </w:r>
          </w:p>
        </w:tc>
      </w:tr>
    </w:tbl>
    <w:p w:rsidR="00EA7B58" w:rsidRDefault="00EA7B58" w:rsidP="00870185">
      <w:pPr>
        <w:pStyle w:val="rresim"/>
      </w:pPr>
    </w:p>
    <w:p w:rsidR="00CB17F4" w:rsidRPr="00245C55" w:rsidRDefault="00975097" w:rsidP="00870185">
      <w:pPr>
        <w:pStyle w:val="rresim"/>
        <w:rPr>
          <w:sz w:val="16"/>
        </w:rPr>
      </w:pPr>
      <w:r w:rsidRPr="00245C55">
        <w:t xml:space="preserve">Şekil </w:t>
      </w:r>
      <w:r w:rsidR="00793755">
        <w:t>1: 2018-2019</w:t>
      </w:r>
      <w:r w:rsidR="00086D5E">
        <w:t xml:space="preserve"> </w:t>
      </w:r>
      <w:r w:rsidR="00086D5E" w:rsidRPr="00086D5E">
        <w:t>II. Çeyrek 2019</w:t>
      </w:r>
      <w:r w:rsidR="00A00E7D">
        <w:t xml:space="preserve"> </w:t>
      </w:r>
      <w:r w:rsidR="00846F82" w:rsidRPr="00245C55">
        <w:t xml:space="preserve">zaman aralığında GSYH </w:t>
      </w:r>
      <w:r w:rsidR="00262142" w:rsidRPr="00245C55">
        <w:t>değişim</w:t>
      </w:r>
      <w:r w:rsidR="00846F82" w:rsidRPr="00245C55">
        <w:t xml:space="preserve">, </w:t>
      </w:r>
      <w:r w:rsidR="00A00E7D">
        <w:t xml:space="preserve">çeyreklik dönem, </w:t>
      </w:r>
      <w:r w:rsidR="00846F82" w:rsidRPr="00245C55">
        <w:t>milyar TL</w:t>
      </w:r>
      <w:r w:rsidR="000701FD" w:rsidRPr="00C35D32">
        <w:tab/>
      </w:r>
      <w:r w:rsidR="000701FD" w:rsidRPr="00245C55">
        <w:rPr>
          <w:sz w:val="14"/>
        </w:rPr>
        <w:tab/>
      </w:r>
      <w:r w:rsidR="00C144CC" w:rsidRPr="00245C55">
        <w:rPr>
          <w:sz w:val="16"/>
        </w:rPr>
        <w:tab/>
      </w:r>
    </w:p>
    <w:p w:rsidR="00CB17F4" w:rsidRPr="00245C55" w:rsidRDefault="00D30502" w:rsidP="00EA7B58">
      <w:pPr>
        <w:rPr>
          <w:rFonts w:cs="Times New Roman"/>
          <w:b/>
          <w:sz w:val="16"/>
          <w:szCs w:val="14"/>
        </w:rPr>
      </w:pPr>
      <w:r>
        <w:rPr>
          <w:noProof/>
        </w:rPr>
        <w:drawing>
          <wp:inline distT="0" distB="0" distL="0" distR="0" wp14:anchorId="5704A2B8" wp14:editId="64062805">
            <wp:extent cx="5826642" cy="2690037"/>
            <wp:effectExtent l="0" t="0" r="3175" b="1524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071B6" w:rsidRPr="00245C55" w:rsidRDefault="006071B6" w:rsidP="00AF5EA7">
      <w:pPr>
        <w:rPr>
          <w:rFonts w:cs="Times New Roman"/>
          <w:b/>
          <w:sz w:val="18"/>
          <w:szCs w:val="14"/>
        </w:rPr>
      </w:pPr>
    </w:p>
    <w:p w:rsidR="00262142" w:rsidRPr="00347F73" w:rsidRDefault="00262142" w:rsidP="00870185">
      <w:pPr>
        <w:pStyle w:val="rresim"/>
      </w:pPr>
      <w:r w:rsidRPr="00245C55">
        <w:t xml:space="preserve">Şekil 2: </w:t>
      </w:r>
      <w:r w:rsidR="00245C55" w:rsidRPr="00245C55">
        <w:t>GSYH, harcama yöntemiyle zincirlenmiş</w:t>
      </w:r>
      <w:r w:rsidR="00793755">
        <w:t xml:space="preserve"> endeks ve değişim oranları,</w:t>
      </w:r>
      <w:r w:rsidR="00347F73">
        <w:br/>
      </w:r>
      <w:r w:rsidR="00793755">
        <w:t>I</w:t>
      </w:r>
      <w:r w:rsidR="00245C55" w:rsidRPr="00245C55">
        <w:t>.</w:t>
      </w:r>
      <w:r w:rsidR="00735E1C">
        <w:t xml:space="preserve"> </w:t>
      </w:r>
      <w:r w:rsidR="00245C55" w:rsidRPr="00245C55">
        <w:t>Çeyrek</w:t>
      </w:r>
      <w:r w:rsidR="00347F73">
        <w:t xml:space="preserve"> 2018- I</w:t>
      </w:r>
      <w:r w:rsidR="00086D5E">
        <w:t>I</w:t>
      </w:r>
      <w:r w:rsidR="00347F73">
        <w:t>. Çeyrek 2019</w:t>
      </w:r>
    </w:p>
    <w:p w:rsidR="00262142" w:rsidRPr="00245C55" w:rsidRDefault="00D30502" w:rsidP="007D2C97">
      <w:pPr>
        <w:jc w:val="left"/>
        <w:rPr>
          <w:rFonts w:cs="Times New Roman"/>
          <w:sz w:val="14"/>
          <w:szCs w:val="14"/>
        </w:rPr>
      </w:pPr>
      <w:r>
        <w:rPr>
          <w:noProof/>
        </w:rPr>
        <w:drawing>
          <wp:inline distT="0" distB="0" distL="0" distR="0" wp14:anchorId="30E212FB" wp14:editId="2924DA2B">
            <wp:extent cx="5858510" cy="2934586"/>
            <wp:effectExtent l="0" t="0" r="8890" b="18415"/>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62142" w:rsidRPr="00245C55" w:rsidRDefault="00262142" w:rsidP="00B0459A">
      <w:pPr>
        <w:jc w:val="center"/>
        <w:rPr>
          <w:rFonts w:cs="Times New Roman"/>
          <w:sz w:val="14"/>
          <w:szCs w:val="14"/>
        </w:rPr>
      </w:pPr>
    </w:p>
    <w:p w:rsidR="00262142" w:rsidRPr="00245C55" w:rsidRDefault="00262142" w:rsidP="00B0459A">
      <w:pPr>
        <w:jc w:val="center"/>
        <w:rPr>
          <w:rFonts w:cs="Times New Roman"/>
          <w:sz w:val="14"/>
          <w:szCs w:val="14"/>
        </w:rPr>
        <w:sectPr w:rsidR="00262142" w:rsidRPr="00245C55" w:rsidSect="00432DF5">
          <w:footerReference w:type="default" r:id="rId11"/>
          <w:pgSz w:w="12240" w:h="15840"/>
          <w:pgMar w:top="1417" w:right="1417" w:bottom="1417" w:left="1417" w:header="708" w:footer="708" w:gutter="0"/>
          <w:cols w:space="708"/>
          <w:docGrid w:linePitch="360"/>
        </w:sectPr>
      </w:pPr>
    </w:p>
    <w:p w:rsidR="00262142" w:rsidRPr="00A513CE" w:rsidRDefault="00262142" w:rsidP="00B0459A">
      <w:pPr>
        <w:jc w:val="center"/>
        <w:rPr>
          <w:rFonts w:cs="Times New Roman"/>
          <w:sz w:val="14"/>
          <w:szCs w:val="14"/>
        </w:rPr>
      </w:pPr>
    </w:p>
    <w:p w:rsidR="00567194" w:rsidRPr="00A513CE" w:rsidRDefault="00262142" w:rsidP="00262142">
      <w:pPr>
        <w:rPr>
          <w:rFonts w:cs="Times New Roman"/>
          <w:b/>
          <w:sz w:val="16"/>
          <w:szCs w:val="14"/>
        </w:rPr>
      </w:pPr>
      <w:r w:rsidRPr="00A513CE">
        <w:rPr>
          <w:rFonts w:cs="Times New Roman"/>
          <w:b/>
        </w:rPr>
        <w:t xml:space="preserve">Tablo </w:t>
      </w:r>
      <w:r w:rsidR="00277E72" w:rsidRPr="00A513CE">
        <w:rPr>
          <w:rFonts w:cs="Times New Roman"/>
          <w:b/>
        </w:rPr>
        <w:t>3</w:t>
      </w:r>
      <w:r w:rsidRPr="00A513CE">
        <w:rPr>
          <w:rFonts w:cs="Times New Roman"/>
          <w:b/>
        </w:rPr>
        <w:t xml:space="preserve">: </w:t>
      </w:r>
      <w:r w:rsidR="00567194" w:rsidRPr="00A513CE">
        <w:rPr>
          <w:rFonts w:cs="Times New Roman"/>
          <w:b/>
        </w:rPr>
        <w:t>GSYH, , iktisadi faaliyet kollarına göre A10 düzeyinde zincirlenmiş hacim,</w:t>
      </w:r>
      <w:r w:rsidR="00793755">
        <w:rPr>
          <w:rFonts w:cs="Times New Roman"/>
          <w:b/>
        </w:rPr>
        <w:t xml:space="preserve"> endeks ve değişim oranları, I</w:t>
      </w:r>
      <w:r w:rsidR="00086D5E">
        <w:rPr>
          <w:rFonts w:cs="Times New Roman"/>
          <w:b/>
        </w:rPr>
        <w:t>I</w:t>
      </w:r>
      <w:r w:rsidR="00567194" w:rsidRPr="00A513CE">
        <w:rPr>
          <w:rFonts w:cs="Times New Roman"/>
          <w:b/>
        </w:rPr>
        <w:t xml:space="preserve">. Çeyrek: </w:t>
      </w:r>
      <w:r w:rsidR="00086D5E" w:rsidRPr="00086D5E">
        <w:rPr>
          <w:rFonts w:cs="Times New Roman"/>
          <w:b/>
        </w:rPr>
        <w:t>Nisan - Haziran</w:t>
      </w:r>
      <w:r w:rsidR="00793755">
        <w:rPr>
          <w:rFonts w:cs="Times New Roman"/>
          <w:b/>
        </w:rPr>
        <w:t>, 2019</w:t>
      </w:r>
    </w:p>
    <w:tbl>
      <w:tblPr>
        <w:tblW w:w="13014" w:type="dxa"/>
        <w:tblInd w:w="70" w:type="dxa"/>
        <w:tblCellMar>
          <w:left w:w="70" w:type="dxa"/>
          <w:right w:w="70" w:type="dxa"/>
        </w:tblCellMar>
        <w:tblLook w:val="04A0" w:firstRow="1" w:lastRow="0" w:firstColumn="1" w:lastColumn="0" w:noHBand="0" w:noVBand="1"/>
      </w:tblPr>
      <w:tblGrid>
        <w:gridCol w:w="2857"/>
        <w:gridCol w:w="1447"/>
        <w:gridCol w:w="642"/>
        <w:gridCol w:w="642"/>
        <w:gridCol w:w="401"/>
        <w:gridCol w:w="391"/>
        <w:gridCol w:w="1342"/>
        <w:gridCol w:w="642"/>
        <w:gridCol w:w="642"/>
        <w:gridCol w:w="401"/>
        <w:gridCol w:w="391"/>
        <w:gridCol w:w="1326"/>
        <w:gridCol w:w="549"/>
        <w:gridCol w:w="549"/>
        <w:gridCol w:w="401"/>
        <w:gridCol w:w="391"/>
      </w:tblGrid>
      <w:tr w:rsidR="00643B9F" w:rsidRPr="00643B9F" w:rsidTr="00643B9F">
        <w:trPr>
          <w:trHeight w:val="558"/>
        </w:trPr>
        <w:tc>
          <w:tcPr>
            <w:tcW w:w="2857" w:type="dxa"/>
            <w:tcBorders>
              <w:top w:val="nil"/>
              <w:left w:val="nil"/>
              <w:bottom w:val="nil"/>
              <w:right w:val="nil"/>
            </w:tcBorders>
            <w:shd w:val="clear" w:color="auto" w:fill="auto"/>
            <w:noWrap/>
            <w:vAlign w:val="center"/>
            <w:hideMark/>
          </w:tcPr>
          <w:p w:rsidR="00643B9F" w:rsidRPr="00643B9F" w:rsidRDefault="008B63DE" w:rsidP="00643B9F">
            <w:pPr>
              <w:spacing w:after="0" w:line="240" w:lineRule="auto"/>
              <w:jc w:val="left"/>
              <w:rPr>
                <w:rFonts w:eastAsia="Times New Roman" w:cs="Times New Roman"/>
                <w:sz w:val="20"/>
                <w:szCs w:val="24"/>
              </w:rPr>
            </w:pPr>
            <w:r w:rsidRPr="008B63DE">
              <w:rPr>
                <w:rFonts w:cs="Times New Roman"/>
                <w:b/>
                <w:sz w:val="20"/>
                <w:szCs w:val="14"/>
              </w:rPr>
              <w:t xml:space="preserve"> </w:t>
            </w:r>
          </w:p>
        </w:tc>
        <w:tc>
          <w:tcPr>
            <w:tcW w:w="3523" w:type="dxa"/>
            <w:gridSpan w:val="5"/>
            <w:tcBorders>
              <w:top w:val="single" w:sz="4" w:space="0" w:color="FFFFFF"/>
              <w:left w:val="single" w:sz="4" w:space="0" w:color="FFFFFF"/>
              <w:bottom w:val="single" w:sz="4" w:space="0" w:color="FFFFFF"/>
              <w:right w:val="single" w:sz="4" w:space="0" w:color="FFFFFF"/>
            </w:tcBorders>
            <w:shd w:val="clear" w:color="000000" w:fill="1F497D"/>
            <w:vAlign w:val="center"/>
            <w:hideMark/>
          </w:tcPr>
          <w:p w:rsidR="00643B9F" w:rsidRPr="00643B9F" w:rsidRDefault="00643B9F" w:rsidP="00643B9F">
            <w:pPr>
              <w:spacing w:after="0" w:line="240" w:lineRule="auto"/>
              <w:jc w:val="center"/>
              <w:rPr>
                <w:rFonts w:eastAsia="Times New Roman" w:cs="Times New Roman"/>
                <w:b/>
                <w:bCs/>
                <w:color w:val="FFFFFF"/>
                <w:sz w:val="22"/>
              </w:rPr>
            </w:pPr>
            <w:r w:rsidRPr="00643B9F">
              <w:rPr>
                <w:rFonts w:eastAsia="Times New Roman" w:cs="Times New Roman"/>
                <w:b/>
                <w:bCs/>
                <w:color w:val="FFFFFF"/>
                <w:sz w:val="22"/>
              </w:rPr>
              <w:t xml:space="preserve">Hacim </w:t>
            </w:r>
            <w:r w:rsidRPr="00643B9F">
              <w:rPr>
                <w:rFonts w:eastAsia="Times New Roman" w:cs="Times New Roman"/>
                <w:b/>
                <w:bCs/>
                <w:color w:val="FFFFFF"/>
                <w:sz w:val="22"/>
              </w:rPr>
              <w:br/>
              <w:t xml:space="preserve"> (Milyar TL)</w:t>
            </w:r>
          </w:p>
        </w:tc>
        <w:tc>
          <w:tcPr>
            <w:tcW w:w="3418" w:type="dxa"/>
            <w:gridSpan w:val="5"/>
            <w:tcBorders>
              <w:top w:val="single" w:sz="4" w:space="0" w:color="FFFFFF"/>
              <w:left w:val="nil"/>
              <w:bottom w:val="single" w:sz="4" w:space="0" w:color="FFFFFF"/>
              <w:right w:val="single" w:sz="4" w:space="0" w:color="FFFFFF"/>
            </w:tcBorders>
            <w:shd w:val="clear" w:color="000000" w:fill="1F497D"/>
            <w:vAlign w:val="center"/>
            <w:hideMark/>
          </w:tcPr>
          <w:p w:rsidR="00643B9F" w:rsidRPr="00643B9F" w:rsidRDefault="00643B9F" w:rsidP="00643B9F">
            <w:pPr>
              <w:spacing w:after="0" w:line="240" w:lineRule="auto"/>
              <w:jc w:val="center"/>
              <w:rPr>
                <w:rFonts w:eastAsia="Times New Roman" w:cs="Times New Roman"/>
                <w:b/>
                <w:bCs/>
                <w:color w:val="FFFFFF"/>
                <w:sz w:val="22"/>
              </w:rPr>
            </w:pPr>
            <w:r w:rsidRPr="00643B9F">
              <w:rPr>
                <w:rFonts w:eastAsia="Times New Roman" w:cs="Times New Roman"/>
                <w:b/>
                <w:bCs/>
                <w:color w:val="FFFFFF"/>
                <w:sz w:val="22"/>
              </w:rPr>
              <w:t>Endeks</w:t>
            </w:r>
          </w:p>
        </w:tc>
        <w:tc>
          <w:tcPr>
            <w:tcW w:w="3216" w:type="dxa"/>
            <w:gridSpan w:val="5"/>
            <w:tcBorders>
              <w:top w:val="single" w:sz="4" w:space="0" w:color="FFFFFF"/>
              <w:left w:val="nil"/>
              <w:bottom w:val="single" w:sz="4" w:space="0" w:color="FFFFFF"/>
              <w:right w:val="single" w:sz="4" w:space="0" w:color="FFFFFF"/>
            </w:tcBorders>
            <w:shd w:val="clear" w:color="000000" w:fill="1F497D"/>
            <w:vAlign w:val="center"/>
            <w:hideMark/>
          </w:tcPr>
          <w:p w:rsidR="00643B9F" w:rsidRPr="00643B9F" w:rsidRDefault="00643B9F" w:rsidP="00643B9F">
            <w:pPr>
              <w:spacing w:after="0" w:line="240" w:lineRule="auto"/>
              <w:jc w:val="center"/>
              <w:rPr>
                <w:rFonts w:eastAsia="Times New Roman" w:cs="Times New Roman"/>
                <w:b/>
                <w:bCs/>
                <w:color w:val="FFFFFF"/>
                <w:sz w:val="22"/>
              </w:rPr>
            </w:pPr>
            <w:r w:rsidRPr="00643B9F">
              <w:rPr>
                <w:rFonts w:eastAsia="Times New Roman" w:cs="Times New Roman"/>
                <w:b/>
                <w:bCs/>
                <w:color w:val="FFFFFF"/>
                <w:sz w:val="22"/>
              </w:rPr>
              <w:t>Bir önceki yılın aynı çeyreğine göre değişim oranı</w:t>
            </w:r>
          </w:p>
        </w:tc>
      </w:tr>
      <w:tr w:rsidR="00643B9F" w:rsidRPr="00643B9F" w:rsidTr="00643B9F">
        <w:trPr>
          <w:trHeight w:val="288"/>
        </w:trPr>
        <w:tc>
          <w:tcPr>
            <w:tcW w:w="2857" w:type="dxa"/>
            <w:tcBorders>
              <w:top w:val="nil"/>
              <w:left w:val="nil"/>
              <w:bottom w:val="nil"/>
              <w:right w:val="nil"/>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b/>
                <w:bCs/>
                <w:color w:val="FFFFFF"/>
                <w:sz w:val="22"/>
              </w:rPr>
            </w:pPr>
          </w:p>
        </w:tc>
        <w:tc>
          <w:tcPr>
            <w:tcW w:w="1447" w:type="dxa"/>
            <w:tcBorders>
              <w:top w:val="nil"/>
              <w:left w:val="single" w:sz="4" w:space="0" w:color="FFFFFF"/>
              <w:bottom w:val="single" w:sz="4" w:space="0" w:color="FFFFFF"/>
              <w:right w:val="single" w:sz="4" w:space="0" w:color="FFFFFF"/>
            </w:tcBorders>
            <w:shd w:val="clear" w:color="000000" w:fill="95B3D7"/>
            <w:noWrap/>
            <w:vAlign w:val="center"/>
            <w:hideMark/>
          </w:tcPr>
          <w:p w:rsidR="00643B9F" w:rsidRPr="00643B9F" w:rsidRDefault="00643B9F" w:rsidP="00643B9F">
            <w:pPr>
              <w:spacing w:after="0" w:line="240" w:lineRule="auto"/>
              <w:jc w:val="center"/>
              <w:rPr>
                <w:rFonts w:eastAsia="Times New Roman" w:cs="Times New Roman"/>
                <w:b/>
                <w:bCs/>
                <w:color w:val="FFFFFF"/>
                <w:sz w:val="22"/>
              </w:rPr>
            </w:pPr>
            <w:r w:rsidRPr="00643B9F">
              <w:rPr>
                <w:rFonts w:eastAsia="Times New Roman" w:cs="Times New Roman"/>
                <w:b/>
                <w:bCs/>
                <w:color w:val="FFFFFF"/>
                <w:sz w:val="22"/>
              </w:rPr>
              <w:t> </w:t>
            </w:r>
          </w:p>
        </w:tc>
        <w:tc>
          <w:tcPr>
            <w:tcW w:w="2076" w:type="dxa"/>
            <w:gridSpan w:val="4"/>
            <w:tcBorders>
              <w:top w:val="single" w:sz="4" w:space="0" w:color="FFFFFF"/>
              <w:left w:val="nil"/>
              <w:bottom w:val="single" w:sz="4" w:space="0" w:color="FFFFFF"/>
              <w:right w:val="single" w:sz="4" w:space="0" w:color="FFFFFF"/>
            </w:tcBorders>
            <w:shd w:val="clear" w:color="000000" w:fill="95B3D7"/>
            <w:noWrap/>
            <w:vAlign w:val="center"/>
            <w:hideMark/>
          </w:tcPr>
          <w:p w:rsidR="00643B9F" w:rsidRPr="00643B9F" w:rsidRDefault="00643B9F" w:rsidP="00643B9F">
            <w:pPr>
              <w:spacing w:after="0" w:line="240" w:lineRule="auto"/>
              <w:jc w:val="center"/>
              <w:rPr>
                <w:rFonts w:eastAsia="Times New Roman" w:cs="Times New Roman"/>
                <w:b/>
                <w:bCs/>
                <w:color w:val="FFFFFF"/>
                <w:sz w:val="22"/>
              </w:rPr>
            </w:pPr>
            <w:r w:rsidRPr="00643B9F">
              <w:rPr>
                <w:rFonts w:eastAsia="Times New Roman" w:cs="Times New Roman"/>
                <w:b/>
                <w:bCs/>
                <w:color w:val="FFFFFF"/>
                <w:sz w:val="22"/>
              </w:rPr>
              <w:t>Çeyrek</w:t>
            </w:r>
          </w:p>
        </w:tc>
        <w:tc>
          <w:tcPr>
            <w:tcW w:w="1342" w:type="dxa"/>
            <w:tcBorders>
              <w:top w:val="nil"/>
              <w:left w:val="nil"/>
              <w:bottom w:val="single" w:sz="4" w:space="0" w:color="FFFFFF"/>
              <w:right w:val="single" w:sz="4" w:space="0" w:color="FFFFFF"/>
            </w:tcBorders>
            <w:shd w:val="clear" w:color="000000" w:fill="95B3D7"/>
            <w:noWrap/>
            <w:vAlign w:val="center"/>
            <w:hideMark/>
          </w:tcPr>
          <w:p w:rsidR="00643B9F" w:rsidRPr="00643B9F" w:rsidRDefault="00643B9F" w:rsidP="00643B9F">
            <w:pPr>
              <w:spacing w:after="0" w:line="240" w:lineRule="auto"/>
              <w:jc w:val="center"/>
              <w:rPr>
                <w:rFonts w:eastAsia="Times New Roman" w:cs="Times New Roman"/>
                <w:b/>
                <w:bCs/>
                <w:color w:val="FFFFFF"/>
                <w:sz w:val="22"/>
              </w:rPr>
            </w:pPr>
            <w:r w:rsidRPr="00643B9F">
              <w:rPr>
                <w:rFonts w:eastAsia="Times New Roman" w:cs="Times New Roman"/>
                <w:b/>
                <w:bCs/>
                <w:color w:val="FFFFFF"/>
                <w:sz w:val="22"/>
              </w:rPr>
              <w:t> </w:t>
            </w:r>
          </w:p>
        </w:tc>
        <w:tc>
          <w:tcPr>
            <w:tcW w:w="2076" w:type="dxa"/>
            <w:gridSpan w:val="4"/>
            <w:tcBorders>
              <w:top w:val="single" w:sz="4" w:space="0" w:color="FFFFFF"/>
              <w:left w:val="nil"/>
              <w:bottom w:val="single" w:sz="4" w:space="0" w:color="FFFFFF"/>
              <w:right w:val="single" w:sz="4" w:space="0" w:color="FFFFFF"/>
            </w:tcBorders>
            <w:shd w:val="clear" w:color="000000" w:fill="95B3D7"/>
            <w:noWrap/>
            <w:vAlign w:val="center"/>
            <w:hideMark/>
          </w:tcPr>
          <w:p w:rsidR="00643B9F" w:rsidRPr="00643B9F" w:rsidRDefault="00643B9F" w:rsidP="00643B9F">
            <w:pPr>
              <w:spacing w:after="0" w:line="240" w:lineRule="auto"/>
              <w:jc w:val="center"/>
              <w:rPr>
                <w:rFonts w:eastAsia="Times New Roman" w:cs="Times New Roman"/>
                <w:b/>
                <w:bCs/>
                <w:color w:val="FFFFFF"/>
                <w:sz w:val="22"/>
              </w:rPr>
            </w:pPr>
            <w:r w:rsidRPr="00643B9F">
              <w:rPr>
                <w:rFonts w:eastAsia="Times New Roman" w:cs="Times New Roman"/>
                <w:b/>
                <w:bCs/>
                <w:color w:val="FFFFFF"/>
                <w:sz w:val="22"/>
              </w:rPr>
              <w:t>Çeyrek</w:t>
            </w:r>
          </w:p>
        </w:tc>
        <w:tc>
          <w:tcPr>
            <w:tcW w:w="1326" w:type="dxa"/>
            <w:tcBorders>
              <w:top w:val="nil"/>
              <w:left w:val="nil"/>
              <w:bottom w:val="single" w:sz="4" w:space="0" w:color="FFFFFF"/>
              <w:right w:val="single" w:sz="4" w:space="0" w:color="FFFFFF"/>
            </w:tcBorders>
            <w:shd w:val="clear" w:color="000000" w:fill="95B3D7"/>
            <w:noWrap/>
            <w:vAlign w:val="center"/>
            <w:hideMark/>
          </w:tcPr>
          <w:p w:rsidR="00643B9F" w:rsidRPr="00643B9F" w:rsidRDefault="00643B9F" w:rsidP="00643B9F">
            <w:pPr>
              <w:spacing w:after="0" w:line="240" w:lineRule="auto"/>
              <w:jc w:val="center"/>
              <w:rPr>
                <w:rFonts w:eastAsia="Times New Roman" w:cs="Times New Roman"/>
                <w:b/>
                <w:bCs/>
                <w:color w:val="FFFFFF"/>
                <w:sz w:val="22"/>
              </w:rPr>
            </w:pPr>
            <w:r w:rsidRPr="00643B9F">
              <w:rPr>
                <w:rFonts w:eastAsia="Times New Roman" w:cs="Times New Roman"/>
                <w:b/>
                <w:bCs/>
                <w:color w:val="FFFFFF"/>
                <w:sz w:val="22"/>
              </w:rPr>
              <w:t> </w:t>
            </w:r>
          </w:p>
        </w:tc>
        <w:tc>
          <w:tcPr>
            <w:tcW w:w="1890" w:type="dxa"/>
            <w:gridSpan w:val="4"/>
            <w:tcBorders>
              <w:top w:val="single" w:sz="4" w:space="0" w:color="FFFFFF"/>
              <w:left w:val="nil"/>
              <w:bottom w:val="single" w:sz="4" w:space="0" w:color="FFFFFF"/>
              <w:right w:val="single" w:sz="4" w:space="0" w:color="FFFFFF"/>
            </w:tcBorders>
            <w:shd w:val="clear" w:color="000000" w:fill="95B3D7"/>
            <w:noWrap/>
            <w:vAlign w:val="center"/>
            <w:hideMark/>
          </w:tcPr>
          <w:p w:rsidR="00643B9F" w:rsidRPr="00643B9F" w:rsidRDefault="00643B9F" w:rsidP="00643B9F">
            <w:pPr>
              <w:spacing w:after="0" w:line="240" w:lineRule="auto"/>
              <w:jc w:val="center"/>
              <w:rPr>
                <w:rFonts w:eastAsia="Times New Roman" w:cs="Times New Roman"/>
                <w:b/>
                <w:bCs/>
                <w:color w:val="FFFFFF"/>
                <w:sz w:val="22"/>
              </w:rPr>
            </w:pPr>
            <w:r w:rsidRPr="00643B9F">
              <w:rPr>
                <w:rFonts w:eastAsia="Times New Roman" w:cs="Times New Roman"/>
                <w:b/>
                <w:bCs/>
                <w:color w:val="FFFFFF"/>
                <w:sz w:val="22"/>
              </w:rPr>
              <w:t>Çeyrek</w:t>
            </w:r>
          </w:p>
        </w:tc>
      </w:tr>
      <w:tr w:rsidR="00643B9F" w:rsidRPr="00643B9F" w:rsidTr="00643B9F">
        <w:trPr>
          <w:trHeight w:val="518"/>
        </w:trPr>
        <w:tc>
          <w:tcPr>
            <w:tcW w:w="2857" w:type="dxa"/>
            <w:tcBorders>
              <w:top w:val="nil"/>
              <w:left w:val="nil"/>
              <w:bottom w:val="nil"/>
              <w:right w:val="nil"/>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b/>
                <w:bCs/>
                <w:color w:val="FFFFFF"/>
                <w:sz w:val="22"/>
              </w:rPr>
            </w:pPr>
          </w:p>
        </w:tc>
        <w:tc>
          <w:tcPr>
            <w:tcW w:w="1447" w:type="dxa"/>
            <w:tcBorders>
              <w:top w:val="nil"/>
              <w:left w:val="single" w:sz="4" w:space="0" w:color="FFFFFF"/>
              <w:bottom w:val="nil"/>
              <w:right w:val="single" w:sz="4" w:space="0" w:color="FFFFFF"/>
            </w:tcBorders>
            <w:shd w:val="clear" w:color="000000" w:fill="DCE6F1"/>
            <w:vAlign w:val="center"/>
            <w:hideMark/>
          </w:tcPr>
          <w:p w:rsidR="00643B9F" w:rsidRPr="00643B9F" w:rsidRDefault="00643B9F" w:rsidP="00643B9F">
            <w:pPr>
              <w:spacing w:after="0" w:line="240" w:lineRule="auto"/>
              <w:jc w:val="center"/>
              <w:rPr>
                <w:rFonts w:eastAsia="Times New Roman" w:cs="Times New Roman"/>
                <w:b/>
                <w:bCs/>
                <w:color w:val="FFFFFF"/>
                <w:sz w:val="22"/>
              </w:rPr>
            </w:pPr>
            <w:r w:rsidRPr="00643B9F">
              <w:rPr>
                <w:rFonts w:eastAsia="Times New Roman" w:cs="Times New Roman"/>
                <w:b/>
                <w:bCs/>
                <w:color w:val="FFFFFF"/>
                <w:sz w:val="22"/>
              </w:rPr>
              <w:t>2018 IV. Çeyrek</w:t>
            </w:r>
          </w:p>
        </w:tc>
        <w:tc>
          <w:tcPr>
            <w:tcW w:w="642" w:type="dxa"/>
            <w:tcBorders>
              <w:top w:val="nil"/>
              <w:left w:val="nil"/>
              <w:bottom w:val="nil"/>
              <w:right w:val="single" w:sz="4" w:space="0" w:color="FFFFFF"/>
            </w:tcBorders>
            <w:shd w:val="clear" w:color="000000" w:fill="DCE6F1"/>
            <w:noWrap/>
            <w:vAlign w:val="center"/>
            <w:hideMark/>
          </w:tcPr>
          <w:p w:rsidR="00643B9F" w:rsidRPr="00643B9F" w:rsidRDefault="00643B9F" w:rsidP="00643B9F">
            <w:pPr>
              <w:spacing w:after="0" w:line="240" w:lineRule="auto"/>
              <w:jc w:val="center"/>
              <w:rPr>
                <w:rFonts w:eastAsia="Times New Roman" w:cs="Times New Roman"/>
                <w:b/>
                <w:bCs/>
                <w:color w:val="FFFFFF"/>
                <w:sz w:val="22"/>
              </w:rPr>
            </w:pPr>
            <w:r w:rsidRPr="00643B9F">
              <w:rPr>
                <w:rFonts w:eastAsia="Times New Roman" w:cs="Times New Roman"/>
                <w:b/>
                <w:bCs/>
                <w:color w:val="FFFFFF"/>
                <w:sz w:val="22"/>
              </w:rPr>
              <w:t>I</w:t>
            </w:r>
          </w:p>
        </w:tc>
        <w:tc>
          <w:tcPr>
            <w:tcW w:w="642" w:type="dxa"/>
            <w:tcBorders>
              <w:top w:val="nil"/>
              <w:left w:val="nil"/>
              <w:bottom w:val="nil"/>
              <w:right w:val="single" w:sz="4" w:space="0" w:color="FFFFFF"/>
            </w:tcBorders>
            <w:shd w:val="clear" w:color="000000" w:fill="DCE6F1"/>
            <w:noWrap/>
            <w:vAlign w:val="center"/>
            <w:hideMark/>
          </w:tcPr>
          <w:p w:rsidR="00643B9F" w:rsidRPr="00643B9F" w:rsidRDefault="00643B9F" w:rsidP="00643B9F">
            <w:pPr>
              <w:spacing w:after="0" w:line="240" w:lineRule="auto"/>
              <w:jc w:val="center"/>
              <w:rPr>
                <w:rFonts w:eastAsia="Times New Roman" w:cs="Times New Roman"/>
                <w:b/>
                <w:bCs/>
                <w:color w:val="FFFFFF"/>
                <w:sz w:val="22"/>
              </w:rPr>
            </w:pPr>
            <w:r w:rsidRPr="00643B9F">
              <w:rPr>
                <w:rFonts w:eastAsia="Times New Roman" w:cs="Times New Roman"/>
                <w:b/>
                <w:bCs/>
                <w:color w:val="FFFFFF"/>
                <w:sz w:val="22"/>
              </w:rPr>
              <w:t>II</w:t>
            </w:r>
          </w:p>
        </w:tc>
        <w:tc>
          <w:tcPr>
            <w:tcW w:w="401" w:type="dxa"/>
            <w:tcBorders>
              <w:top w:val="nil"/>
              <w:left w:val="nil"/>
              <w:bottom w:val="nil"/>
              <w:right w:val="single" w:sz="4" w:space="0" w:color="FFFFFF"/>
            </w:tcBorders>
            <w:shd w:val="clear" w:color="000000" w:fill="DCE6F1"/>
            <w:noWrap/>
            <w:vAlign w:val="center"/>
            <w:hideMark/>
          </w:tcPr>
          <w:p w:rsidR="00643B9F" w:rsidRPr="00643B9F" w:rsidRDefault="00643B9F" w:rsidP="00643B9F">
            <w:pPr>
              <w:spacing w:after="0" w:line="240" w:lineRule="auto"/>
              <w:jc w:val="center"/>
              <w:rPr>
                <w:rFonts w:eastAsia="Times New Roman" w:cs="Times New Roman"/>
                <w:b/>
                <w:bCs/>
                <w:color w:val="FFFFFF"/>
                <w:sz w:val="22"/>
              </w:rPr>
            </w:pPr>
            <w:r w:rsidRPr="00643B9F">
              <w:rPr>
                <w:rFonts w:eastAsia="Times New Roman" w:cs="Times New Roman"/>
                <w:b/>
                <w:bCs/>
                <w:color w:val="FFFFFF"/>
                <w:sz w:val="22"/>
              </w:rPr>
              <w:t>III</w:t>
            </w:r>
          </w:p>
        </w:tc>
        <w:tc>
          <w:tcPr>
            <w:tcW w:w="391" w:type="dxa"/>
            <w:tcBorders>
              <w:top w:val="nil"/>
              <w:left w:val="nil"/>
              <w:bottom w:val="nil"/>
              <w:right w:val="single" w:sz="4" w:space="0" w:color="FFFFFF"/>
            </w:tcBorders>
            <w:shd w:val="clear" w:color="000000" w:fill="DCE6F1"/>
            <w:noWrap/>
            <w:vAlign w:val="center"/>
            <w:hideMark/>
          </w:tcPr>
          <w:p w:rsidR="00643B9F" w:rsidRPr="00643B9F" w:rsidRDefault="00643B9F" w:rsidP="00643B9F">
            <w:pPr>
              <w:spacing w:after="0" w:line="240" w:lineRule="auto"/>
              <w:jc w:val="center"/>
              <w:rPr>
                <w:rFonts w:eastAsia="Times New Roman" w:cs="Times New Roman"/>
                <w:b/>
                <w:bCs/>
                <w:color w:val="FFFFFF"/>
                <w:sz w:val="22"/>
              </w:rPr>
            </w:pPr>
            <w:r w:rsidRPr="00643B9F">
              <w:rPr>
                <w:rFonts w:eastAsia="Times New Roman" w:cs="Times New Roman"/>
                <w:b/>
                <w:bCs/>
                <w:color w:val="FFFFFF"/>
                <w:sz w:val="22"/>
              </w:rPr>
              <w:t>IV</w:t>
            </w:r>
          </w:p>
        </w:tc>
        <w:tc>
          <w:tcPr>
            <w:tcW w:w="1342" w:type="dxa"/>
            <w:tcBorders>
              <w:top w:val="nil"/>
              <w:left w:val="nil"/>
              <w:bottom w:val="nil"/>
              <w:right w:val="single" w:sz="4" w:space="0" w:color="FFFFFF"/>
            </w:tcBorders>
            <w:shd w:val="clear" w:color="000000" w:fill="DCE6F1"/>
            <w:vAlign w:val="center"/>
            <w:hideMark/>
          </w:tcPr>
          <w:p w:rsidR="00643B9F" w:rsidRPr="00643B9F" w:rsidRDefault="00643B9F" w:rsidP="00643B9F">
            <w:pPr>
              <w:spacing w:after="0" w:line="240" w:lineRule="auto"/>
              <w:jc w:val="center"/>
              <w:rPr>
                <w:rFonts w:eastAsia="Times New Roman" w:cs="Times New Roman"/>
                <w:b/>
                <w:bCs/>
                <w:color w:val="FFFFFF"/>
                <w:sz w:val="22"/>
              </w:rPr>
            </w:pPr>
            <w:r w:rsidRPr="00643B9F">
              <w:rPr>
                <w:rFonts w:eastAsia="Times New Roman" w:cs="Times New Roman"/>
                <w:b/>
                <w:bCs/>
                <w:color w:val="FFFFFF"/>
                <w:sz w:val="22"/>
              </w:rPr>
              <w:t>2018 IV. Çeyrek</w:t>
            </w:r>
          </w:p>
        </w:tc>
        <w:tc>
          <w:tcPr>
            <w:tcW w:w="642" w:type="dxa"/>
            <w:tcBorders>
              <w:top w:val="nil"/>
              <w:left w:val="nil"/>
              <w:bottom w:val="nil"/>
              <w:right w:val="single" w:sz="4" w:space="0" w:color="FFFFFF"/>
            </w:tcBorders>
            <w:shd w:val="clear" w:color="000000" w:fill="DCE6F1"/>
            <w:noWrap/>
            <w:vAlign w:val="center"/>
            <w:hideMark/>
          </w:tcPr>
          <w:p w:rsidR="00643B9F" w:rsidRPr="00643B9F" w:rsidRDefault="00643B9F" w:rsidP="00643B9F">
            <w:pPr>
              <w:spacing w:after="0" w:line="240" w:lineRule="auto"/>
              <w:jc w:val="center"/>
              <w:rPr>
                <w:rFonts w:eastAsia="Times New Roman" w:cs="Times New Roman"/>
                <w:b/>
                <w:bCs/>
                <w:color w:val="FFFFFF"/>
                <w:sz w:val="22"/>
              </w:rPr>
            </w:pPr>
            <w:r w:rsidRPr="00643B9F">
              <w:rPr>
                <w:rFonts w:eastAsia="Times New Roman" w:cs="Times New Roman"/>
                <w:b/>
                <w:bCs/>
                <w:color w:val="FFFFFF"/>
                <w:sz w:val="22"/>
              </w:rPr>
              <w:t>I</w:t>
            </w:r>
          </w:p>
        </w:tc>
        <w:tc>
          <w:tcPr>
            <w:tcW w:w="642" w:type="dxa"/>
            <w:tcBorders>
              <w:top w:val="nil"/>
              <w:left w:val="nil"/>
              <w:bottom w:val="nil"/>
              <w:right w:val="single" w:sz="4" w:space="0" w:color="FFFFFF"/>
            </w:tcBorders>
            <w:shd w:val="clear" w:color="000000" w:fill="DCE6F1"/>
            <w:noWrap/>
            <w:vAlign w:val="center"/>
            <w:hideMark/>
          </w:tcPr>
          <w:p w:rsidR="00643B9F" w:rsidRPr="00643B9F" w:rsidRDefault="00643B9F" w:rsidP="00643B9F">
            <w:pPr>
              <w:spacing w:after="0" w:line="240" w:lineRule="auto"/>
              <w:jc w:val="center"/>
              <w:rPr>
                <w:rFonts w:eastAsia="Times New Roman" w:cs="Times New Roman"/>
                <w:b/>
                <w:bCs/>
                <w:color w:val="FFFFFF"/>
                <w:sz w:val="22"/>
              </w:rPr>
            </w:pPr>
            <w:r w:rsidRPr="00643B9F">
              <w:rPr>
                <w:rFonts w:eastAsia="Times New Roman" w:cs="Times New Roman"/>
                <w:b/>
                <w:bCs/>
                <w:color w:val="FFFFFF"/>
                <w:sz w:val="22"/>
              </w:rPr>
              <w:t>II</w:t>
            </w:r>
          </w:p>
        </w:tc>
        <w:tc>
          <w:tcPr>
            <w:tcW w:w="401" w:type="dxa"/>
            <w:tcBorders>
              <w:top w:val="nil"/>
              <w:left w:val="nil"/>
              <w:bottom w:val="nil"/>
              <w:right w:val="single" w:sz="4" w:space="0" w:color="FFFFFF"/>
            </w:tcBorders>
            <w:shd w:val="clear" w:color="000000" w:fill="DCE6F1"/>
            <w:noWrap/>
            <w:vAlign w:val="center"/>
            <w:hideMark/>
          </w:tcPr>
          <w:p w:rsidR="00643B9F" w:rsidRPr="00643B9F" w:rsidRDefault="00643B9F" w:rsidP="00643B9F">
            <w:pPr>
              <w:spacing w:after="0" w:line="240" w:lineRule="auto"/>
              <w:jc w:val="center"/>
              <w:rPr>
                <w:rFonts w:eastAsia="Times New Roman" w:cs="Times New Roman"/>
                <w:b/>
                <w:bCs/>
                <w:color w:val="FFFFFF"/>
                <w:sz w:val="22"/>
              </w:rPr>
            </w:pPr>
            <w:r w:rsidRPr="00643B9F">
              <w:rPr>
                <w:rFonts w:eastAsia="Times New Roman" w:cs="Times New Roman"/>
                <w:b/>
                <w:bCs/>
                <w:color w:val="FFFFFF"/>
                <w:sz w:val="22"/>
              </w:rPr>
              <w:t>III</w:t>
            </w:r>
          </w:p>
        </w:tc>
        <w:tc>
          <w:tcPr>
            <w:tcW w:w="391" w:type="dxa"/>
            <w:tcBorders>
              <w:top w:val="nil"/>
              <w:left w:val="nil"/>
              <w:bottom w:val="nil"/>
              <w:right w:val="single" w:sz="4" w:space="0" w:color="FFFFFF"/>
            </w:tcBorders>
            <w:shd w:val="clear" w:color="000000" w:fill="DCE6F1"/>
            <w:noWrap/>
            <w:vAlign w:val="center"/>
            <w:hideMark/>
          </w:tcPr>
          <w:p w:rsidR="00643B9F" w:rsidRPr="00643B9F" w:rsidRDefault="00643B9F" w:rsidP="00643B9F">
            <w:pPr>
              <w:spacing w:after="0" w:line="240" w:lineRule="auto"/>
              <w:jc w:val="center"/>
              <w:rPr>
                <w:rFonts w:eastAsia="Times New Roman" w:cs="Times New Roman"/>
                <w:b/>
                <w:bCs/>
                <w:color w:val="FFFFFF"/>
                <w:sz w:val="22"/>
              </w:rPr>
            </w:pPr>
            <w:r w:rsidRPr="00643B9F">
              <w:rPr>
                <w:rFonts w:eastAsia="Times New Roman" w:cs="Times New Roman"/>
                <w:b/>
                <w:bCs/>
                <w:color w:val="FFFFFF"/>
                <w:sz w:val="22"/>
              </w:rPr>
              <w:t>IV</w:t>
            </w:r>
          </w:p>
        </w:tc>
        <w:tc>
          <w:tcPr>
            <w:tcW w:w="1326" w:type="dxa"/>
            <w:tcBorders>
              <w:top w:val="nil"/>
              <w:left w:val="nil"/>
              <w:bottom w:val="nil"/>
              <w:right w:val="single" w:sz="4" w:space="0" w:color="FFFFFF"/>
            </w:tcBorders>
            <w:shd w:val="clear" w:color="000000" w:fill="DCE6F1"/>
            <w:vAlign w:val="center"/>
            <w:hideMark/>
          </w:tcPr>
          <w:p w:rsidR="00643B9F" w:rsidRPr="00643B9F" w:rsidRDefault="00643B9F" w:rsidP="00643B9F">
            <w:pPr>
              <w:spacing w:after="0" w:line="240" w:lineRule="auto"/>
              <w:jc w:val="center"/>
              <w:rPr>
                <w:rFonts w:eastAsia="Times New Roman" w:cs="Times New Roman"/>
                <w:b/>
                <w:bCs/>
                <w:color w:val="FFFFFF"/>
                <w:sz w:val="22"/>
              </w:rPr>
            </w:pPr>
            <w:r w:rsidRPr="00643B9F">
              <w:rPr>
                <w:rFonts w:eastAsia="Times New Roman" w:cs="Times New Roman"/>
                <w:b/>
                <w:bCs/>
                <w:color w:val="FFFFFF"/>
                <w:sz w:val="22"/>
              </w:rPr>
              <w:t>2018 IV. Çeyrek</w:t>
            </w:r>
          </w:p>
        </w:tc>
        <w:tc>
          <w:tcPr>
            <w:tcW w:w="549" w:type="dxa"/>
            <w:tcBorders>
              <w:top w:val="nil"/>
              <w:left w:val="nil"/>
              <w:bottom w:val="nil"/>
              <w:right w:val="single" w:sz="4" w:space="0" w:color="FFFFFF"/>
            </w:tcBorders>
            <w:shd w:val="clear" w:color="000000" w:fill="DCE6F1"/>
            <w:noWrap/>
            <w:vAlign w:val="center"/>
            <w:hideMark/>
          </w:tcPr>
          <w:p w:rsidR="00643B9F" w:rsidRPr="00643B9F" w:rsidRDefault="00643B9F" w:rsidP="00643B9F">
            <w:pPr>
              <w:spacing w:after="0" w:line="240" w:lineRule="auto"/>
              <w:jc w:val="center"/>
              <w:rPr>
                <w:rFonts w:eastAsia="Times New Roman" w:cs="Times New Roman"/>
                <w:b/>
                <w:bCs/>
                <w:color w:val="FFFFFF"/>
                <w:sz w:val="22"/>
              </w:rPr>
            </w:pPr>
            <w:r w:rsidRPr="00643B9F">
              <w:rPr>
                <w:rFonts w:eastAsia="Times New Roman" w:cs="Times New Roman"/>
                <w:b/>
                <w:bCs/>
                <w:color w:val="FFFFFF"/>
                <w:sz w:val="22"/>
              </w:rPr>
              <w:t>I</w:t>
            </w:r>
          </w:p>
        </w:tc>
        <w:tc>
          <w:tcPr>
            <w:tcW w:w="549" w:type="dxa"/>
            <w:tcBorders>
              <w:top w:val="nil"/>
              <w:left w:val="nil"/>
              <w:bottom w:val="nil"/>
              <w:right w:val="single" w:sz="4" w:space="0" w:color="FFFFFF"/>
            </w:tcBorders>
            <w:shd w:val="clear" w:color="000000" w:fill="DCE6F1"/>
            <w:noWrap/>
            <w:vAlign w:val="center"/>
            <w:hideMark/>
          </w:tcPr>
          <w:p w:rsidR="00643B9F" w:rsidRPr="00643B9F" w:rsidRDefault="00643B9F" w:rsidP="00643B9F">
            <w:pPr>
              <w:spacing w:after="0" w:line="240" w:lineRule="auto"/>
              <w:jc w:val="center"/>
              <w:rPr>
                <w:rFonts w:eastAsia="Times New Roman" w:cs="Times New Roman"/>
                <w:b/>
                <w:bCs/>
                <w:color w:val="FFFFFF"/>
                <w:sz w:val="22"/>
              </w:rPr>
            </w:pPr>
            <w:r w:rsidRPr="00643B9F">
              <w:rPr>
                <w:rFonts w:eastAsia="Times New Roman" w:cs="Times New Roman"/>
                <w:b/>
                <w:bCs/>
                <w:color w:val="FFFFFF"/>
                <w:sz w:val="22"/>
              </w:rPr>
              <w:t>II</w:t>
            </w:r>
          </w:p>
        </w:tc>
        <w:tc>
          <w:tcPr>
            <w:tcW w:w="401" w:type="dxa"/>
            <w:tcBorders>
              <w:top w:val="nil"/>
              <w:left w:val="nil"/>
              <w:bottom w:val="nil"/>
              <w:right w:val="single" w:sz="4" w:space="0" w:color="FFFFFF"/>
            </w:tcBorders>
            <w:shd w:val="clear" w:color="000000" w:fill="DCE6F1"/>
            <w:noWrap/>
            <w:vAlign w:val="center"/>
            <w:hideMark/>
          </w:tcPr>
          <w:p w:rsidR="00643B9F" w:rsidRPr="00643B9F" w:rsidRDefault="00643B9F" w:rsidP="00643B9F">
            <w:pPr>
              <w:spacing w:after="0" w:line="240" w:lineRule="auto"/>
              <w:jc w:val="center"/>
              <w:rPr>
                <w:rFonts w:eastAsia="Times New Roman" w:cs="Times New Roman"/>
                <w:b/>
                <w:bCs/>
                <w:color w:val="FFFFFF"/>
                <w:sz w:val="22"/>
              </w:rPr>
            </w:pPr>
            <w:r w:rsidRPr="00643B9F">
              <w:rPr>
                <w:rFonts w:eastAsia="Times New Roman" w:cs="Times New Roman"/>
                <w:b/>
                <w:bCs/>
                <w:color w:val="FFFFFF"/>
                <w:sz w:val="22"/>
              </w:rPr>
              <w:t>III</w:t>
            </w:r>
          </w:p>
        </w:tc>
        <w:tc>
          <w:tcPr>
            <w:tcW w:w="391" w:type="dxa"/>
            <w:tcBorders>
              <w:top w:val="nil"/>
              <w:left w:val="nil"/>
              <w:bottom w:val="nil"/>
              <w:right w:val="single" w:sz="4" w:space="0" w:color="FFFFFF"/>
            </w:tcBorders>
            <w:shd w:val="clear" w:color="000000" w:fill="DCE6F1"/>
            <w:noWrap/>
            <w:vAlign w:val="center"/>
            <w:hideMark/>
          </w:tcPr>
          <w:p w:rsidR="00643B9F" w:rsidRPr="00643B9F" w:rsidRDefault="00643B9F" w:rsidP="00643B9F">
            <w:pPr>
              <w:spacing w:after="0" w:line="240" w:lineRule="auto"/>
              <w:jc w:val="center"/>
              <w:rPr>
                <w:rFonts w:eastAsia="Times New Roman" w:cs="Times New Roman"/>
                <w:b/>
                <w:bCs/>
                <w:color w:val="FFFFFF"/>
                <w:sz w:val="22"/>
              </w:rPr>
            </w:pPr>
            <w:r w:rsidRPr="00643B9F">
              <w:rPr>
                <w:rFonts w:eastAsia="Times New Roman" w:cs="Times New Roman"/>
                <w:b/>
                <w:bCs/>
                <w:color w:val="FFFFFF"/>
                <w:sz w:val="22"/>
              </w:rPr>
              <w:t>IV</w:t>
            </w:r>
          </w:p>
        </w:tc>
      </w:tr>
      <w:tr w:rsidR="00643B9F" w:rsidRPr="00643B9F" w:rsidTr="00643B9F">
        <w:trPr>
          <w:trHeight w:val="288"/>
        </w:trPr>
        <w:tc>
          <w:tcPr>
            <w:tcW w:w="2857" w:type="dxa"/>
            <w:tcBorders>
              <w:top w:val="single" w:sz="4" w:space="0" w:color="FFFFFF"/>
              <w:left w:val="single" w:sz="4" w:space="0" w:color="FFFFFF"/>
              <w:bottom w:val="single" w:sz="4" w:space="0" w:color="FFFFFF"/>
              <w:right w:val="single" w:sz="4" w:space="0" w:color="FFFFFF"/>
            </w:tcBorders>
            <w:shd w:val="clear" w:color="000000" w:fill="1F497D"/>
            <w:vAlign w:val="bottom"/>
            <w:hideMark/>
          </w:tcPr>
          <w:p w:rsidR="00643B9F" w:rsidRPr="00643B9F" w:rsidRDefault="00643B9F" w:rsidP="00643B9F">
            <w:pPr>
              <w:spacing w:after="0" w:line="240" w:lineRule="auto"/>
              <w:jc w:val="left"/>
              <w:rPr>
                <w:rFonts w:eastAsia="Times New Roman" w:cs="Times New Roman"/>
                <w:b/>
                <w:bCs/>
                <w:color w:val="FFFFFF"/>
                <w:sz w:val="22"/>
              </w:rPr>
            </w:pPr>
            <w:r w:rsidRPr="00643B9F">
              <w:rPr>
                <w:rFonts w:eastAsia="Times New Roman" w:cs="Times New Roman"/>
                <w:b/>
                <w:bCs/>
                <w:color w:val="FFFFFF"/>
                <w:sz w:val="22"/>
              </w:rPr>
              <w:t>Tarım, ormancılık ve balıkçılık</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25</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10,7</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17,8</w:t>
            </w:r>
          </w:p>
        </w:tc>
        <w:tc>
          <w:tcPr>
            <w:tcW w:w="401" w:type="dxa"/>
            <w:tcBorders>
              <w:top w:val="single" w:sz="4" w:space="0" w:color="auto"/>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391" w:type="dxa"/>
            <w:tcBorders>
              <w:top w:val="single" w:sz="4" w:space="0" w:color="auto"/>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122,1</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52,5</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87,9</w:t>
            </w:r>
          </w:p>
        </w:tc>
        <w:tc>
          <w:tcPr>
            <w:tcW w:w="401" w:type="dxa"/>
            <w:tcBorders>
              <w:top w:val="single" w:sz="4" w:space="0" w:color="auto"/>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391" w:type="dxa"/>
            <w:tcBorders>
              <w:top w:val="single" w:sz="4" w:space="0" w:color="auto"/>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1326" w:type="dxa"/>
            <w:tcBorders>
              <w:top w:val="single" w:sz="4" w:space="0" w:color="auto"/>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-0,5</w:t>
            </w:r>
          </w:p>
        </w:tc>
        <w:tc>
          <w:tcPr>
            <w:tcW w:w="549" w:type="dxa"/>
            <w:tcBorders>
              <w:top w:val="single" w:sz="4" w:space="0" w:color="auto"/>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1,3</w:t>
            </w:r>
          </w:p>
        </w:tc>
        <w:tc>
          <w:tcPr>
            <w:tcW w:w="549" w:type="dxa"/>
            <w:tcBorders>
              <w:top w:val="single" w:sz="4" w:space="0" w:color="auto"/>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3,4</w:t>
            </w:r>
          </w:p>
        </w:tc>
        <w:tc>
          <w:tcPr>
            <w:tcW w:w="401" w:type="dxa"/>
            <w:tcBorders>
              <w:top w:val="single" w:sz="4" w:space="0" w:color="auto"/>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391" w:type="dxa"/>
            <w:tcBorders>
              <w:top w:val="single" w:sz="4" w:space="0" w:color="auto"/>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r>
      <w:tr w:rsidR="00643B9F" w:rsidRPr="00643B9F" w:rsidTr="00643B9F">
        <w:trPr>
          <w:trHeight w:val="288"/>
        </w:trPr>
        <w:tc>
          <w:tcPr>
            <w:tcW w:w="2857" w:type="dxa"/>
            <w:tcBorders>
              <w:top w:val="nil"/>
              <w:left w:val="single" w:sz="4" w:space="0" w:color="FFFFFF"/>
              <w:bottom w:val="single" w:sz="4" w:space="0" w:color="FFFFFF"/>
              <w:right w:val="single" w:sz="4" w:space="0" w:color="FFFFFF"/>
            </w:tcBorders>
            <w:shd w:val="clear" w:color="000000" w:fill="1F497D"/>
            <w:vAlign w:val="bottom"/>
            <w:hideMark/>
          </w:tcPr>
          <w:p w:rsidR="00643B9F" w:rsidRPr="00643B9F" w:rsidRDefault="00643B9F" w:rsidP="00643B9F">
            <w:pPr>
              <w:spacing w:after="0" w:line="240" w:lineRule="auto"/>
              <w:jc w:val="left"/>
              <w:rPr>
                <w:rFonts w:eastAsia="Times New Roman" w:cs="Times New Roman"/>
                <w:b/>
                <w:bCs/>
                <w:color w:val="FFFFFF"/>
                <w:sz w:val="22"/>
              </w:rPr>
            </w:pPr>
            <w:r w:rsidRPr="00643B9F">
              <w:rPr>
                <w:rFonts w:eastAsia="Times New Roman" w:cs="Times New Roman"/>
                <w:b/>
                <w:bCs/>
                <w:color w:val="FFFFFF"/>
                <w:sz w:val="22"/>
              </w:rPr>
              <w:t xml:space="preserve">Sanayi </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89</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80,8</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84,8</w:t>
            </w:r>
          </w:p>
        </w:tc>
        <w:tc>
          <w:tcPr>
            <w:tcW w:w="40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39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13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193,0</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175,4</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184,1</w:t>
            </w:r>
          </w:p>
        </w:tc>
        <w:tc>
          <w:tcPr>
            <w:tcW w:w="40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39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1326"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-6,4</w:t>
            </w:r>
          </w:p>
        </w:tc>
        <w:tc>
          <w:tcPr>
            <w:tcW w:w="549"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-3,9</w:t>
            </w:r>
          </w:p>
        </w:tc>
        <w:tc>
          <w:tcPr>
            <w:tcW w:w="549"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-2,7</w:t>
            </w:r>
          </w:p>
        </w:tc>
        <w:tc>
          <w:tcPr>
            <w:tcW w:w="40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39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r>
      <w:tr w:rsidR="00643B9F" w:rsidRPr="00643B9F" w:rsidTr="00643B9F">
        <w:trPr>
          <w:trHeight w:val="288"/>
        </w:trPr>
        <w:tc>
          <w:tcPr>
            <w:tcW w:w="2857" w:type="dxa"/>
            <w:tcBorders>
              <w:top w:val="nil"/>
              <w:left w:val="single" w:sz="4" w:space="0" w:color="FFFFFF"/>
              <w:bottom w:val="single" w:sz="4" w:space="0" w:color="FFFFFF"/>
              <w:right w:val="single" w:sz="4" w:space="0" w:color="FFFFFF"/>
            </w:tcBorders>
            <w:shd w:val="clear" w:color="000000" w:fill="1F497D"/>
            <w:vAlign w:val="bottom"/>
            <w:hideMark/>
          </w:tcPr>
          <w:p w:rsidR="00643B9F" w:rsidRPr="00643B9F" w:rsidRDefault="00643B9F" w:rsidP="00643B9F">
            <w:pPr>
              <w:spacing w:after="0" w:line="240" w:lineRule="auto"/>
              <w:jc w:val="left"/>
              <w:rPr>
                <w:rFonts w:eastAsia="Times New Roman" w:cs="Times New Roman"/>
                <w:b/>
                <w:bCs/>
                <w:color w:val="FFFFFF"/>
                <w:sz w:val="22"/>
              </w:rPr>
            </w:pPr>
            <w:r w:rsidRPr="00643B9F">
              <w:rPr>
                <w:rFonts w:eastAsia="Times New Roman" w:cs="Times New Roman"/>
                <w:b/>
                <w:bCs/>
                <w:color w:val="FFFFFF"/>
                <w:sz w:val="22"/>
              </w:rPr>
              <w:t xml:space="preserve">İmalat sanayi </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74</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67,0</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70,9</w:t>
            </w:r>
          </w:p>
        </w:tc>
        <w:tc>
          <w:tcPr>
            <w:tcW w:w="40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39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13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194,7</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177,0</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187,3</w:t>
            </w:r>
          </w:p>
        </w:tc>
        <w:tc>
          <w:tcPr>
            <w:tcW w:w="40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39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1326"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-7,4</w:t>
            </w:r>
          </w:p>
        </w:tc>
        <w:tc>
          <w:tcPr>
            <w:tcW w:w="549"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-4,2</w:t>
            </w:r>
          </w:p>
        </w:tc>
        <w:tc>
          <w:tcPr>
            <w:tcW w:w="549"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-3,3</w:t>
            </w:r>
          </w:p>
        </w:tc>
        <w:tc>
          <w:tcPr>
            <w:tcW w:w="40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39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r>
      <w:tr w:rsidR="00643B9F" w:rsidRPr="00643B9F" w:rsidTr="00643B9F">
        <w:trPr>
          <w:trHeight w:val="288"/>
        </w:trPr>
        <w:tc>
          <w:tcPr>
            <w:tcW w:w="2857" w:type="dxa"/>
            <w:tcBorders>
              <w:top w:val="nil"/>
              <w:left w:val="single" w:sz="4" w:space="0" w:color="FFFFFF"/>
              <w:bottom w:val="single" w:sz="4" w:space="0" w:color="FFFFFF"/>
              <w:right w:val="single" w:sz="4" w:space="0" w:color="FFFFFF"/>
            </w:tcBorders>
            <w:shd w:val="clear" w:color="000000" w:fill="1F497D"/>
            <w:vAlign w:val="bottom"/>
            <w:hideMark/>
          </w:tcPr>
          <w:p w:rsidR="00643B9F" w:rsidRPr="00643B9F" w:rsidRDefault="00643B9F" w:rsidP="00643B9F">
            <w:pPr>
              <w:spacing w:after="0" w:line="240" w:lineRule="auto"/>
              <w:jc w:val="left"/>
              <w:rPr>
                <w:rFonts w:eastAsia="Times New Roman" w:cs="Times New Roman"/>
                <w:b/>
                <w:bCs/>
                <w:color w:val="FFFFFF"/>
                <w:sz w:val="22"/>
              </w:rPr>
            </w:pPr>
            <w:r w:rsidRPr="00643B9F">
              <w:rPr>
                <w:rFonts w:eastAsia="Times New Roman" w:cs="Times New Roman"/>
                <w:b/>
                <w:bCs/>
                <w:color w:val="FFFFFF"/>
                <w:sz w:val="22"/>
              </w:rPr>
              <w:t xml:space="preserve">İnşaat </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31</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24,7</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29,3</w:t>
            </w:r>
          </w:p>
        </w:tc>
        <w:tc>
          <w:tcPr>
            <w:tcW w:w="40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39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13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220,6</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175,8</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208,6</w:t>
            </w:r>
          </w:p>
        </w:tc>
        <w:tc>
          <w:tcPr>
            <w:tcW w:w="40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39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1326"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-8,7</w:t>
            </w:r>
          </w:p>
        </w:tc>
        <w:tc>
          <w:tcPr>
            <w:tcW w:w="549"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-9,3</w:t>
            </w:r>
          </w:p>
        </w:tc>
        <w:tc>
          <w:tcPr>
            <w:tcW w:w="549"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-12,7</w:t>
            </w:r>
          </w:p>
        </w:tc>
        <w:tc>
          <w:tcPr>
            <w:tcW w:w="40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39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r>
      <w:tr w:rsidR="00643B9F" w:rsidRPr="00643B9F" w:rsidTr="00643B9F">
        <w:trPr>
          <w:trHeight w:val="288"/>
        </w:trPr>
        <w:tc>
          <w:tcPr>
            <w:tcW w:w="2857" w:type="dxa"/>
            <w:tcBorders>
              <w:top w:val="nil"/>
              <w:left w:val="single" w:sz="4" w:space="0" w:color="FFFFFF"/>
              <w:bottom w:val="single" w:sz="4" w:space="0" w:color="FFFFFF"/>
              <w:right w:val="single" w:sz="4" w:space="0" w:color="FFFFFF"/>
            </w:tcBorders>
            <w:shd w:val="clear" w:color="000000" w:fill="1F497D"/>
            <w:vAlign w:val="bottom"/>
            <w:hideMark/>
          </w:tcPr>
          <w:p w:rsidR="00643B9F" w:rsidRPr="00643B9F" w:rsidRDefault="00643B9F" w:rsidP="00643B9F">
            <w:pPr>
              <w:spacing w:after="0" w:line="240" w:lineRule="auto"/>
              <w:jc w:val="left"/>
              <w:rPr>
                <w:rFonts w:eastAsia="Times New Roman" w:cs="Times New Roman"/>
                <w:b/>
                <w:bCs/>
                <w:color w:val="FFFFFF"/>
                <w:sz w:val="22"/>
              </w:rPr>
            </w:pPr>
            <w:r w:rsidRPr="00643B9F">
              <w:rPr>
                <w:rFonts w:eastAsia="Times New Roman" w:cs="Times New Roman"/>
                <w:b/>
                <w:bCs/>
                <w:color w:val="FFFFFF"/>
                <w:sz w:val="22"/>
              </w:rPr>
              <w:t xml:space="preserve">Hizmetler </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107</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89,2</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99,6</w:t>
            </w:r>
          </w:p>
        </w:tc>
        <w:tc>
          <w:tcPr>
            <w:tcW w:w="40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39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13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196,5</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164,1</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183,3</w:t>
            </w:r>
          </w:p>
        </w:tc>
        <w:tc>
          <w:tcPr>
            <w:tcW w:w="40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39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1326"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-0,3</w:t>
            </w:r>
          </w:p>
        </w:tc>
        <w:tc>
          <w:tcPr>
            <w:tcW w:w="549"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-3,4</w:t>
            </w:r>
          </w:p>
        </w:tc>
        <w:tc>
          <w:tcPr>
            <w:tcW w:w="549"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-0,3</w:t>
            </w:r>
          </w:p>
        </w:tc>
        <w:tc>
          <w:tcPr>
            <w:tcW w:w="40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39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r>
      <w:tr w:rsidR="00643B9F" w:rsidRPr="00643B9F" w:rsidTr="00643B9F">
        <w:trPr>
          <w:trHeight w:val="288"/>
        </w:trPr>
        <w:tc>
          <w:tcPr>
            <w:tcW w:w="2857" w:type="dxa"/>
            <w:tcBorders>
              <w:top w:val="nil"/>
              <w:left w:val="single" w:sz="4" w:space="0" w:color="FFFFFF"/>
              <w:bottom w:val="single" w:sz="4" w:space="0" w:color="FFFFFF"/>
              <w:right w:val="single" w:sz="4" w:space="0" w:color="FFFFFF"/>
            </w:tcBorders>
            <w:shd w:val="clear" w:color="000000" w:fill="1F497D"/>
            <w:vAlign w:val="bottom"/>
            <w:hideMark/>
          </w:tcPr>
          <w:p w:rsidR="00643B9F" w:rsidRPr="00643B9F" w:rsidRDefault="00643B9F" w:rsidP="00643B9F">
            <w:pPr>
              <w:spacing w:after="0" w:line="240" w:lineRule="auto"/>
              <w:jc w:val="left"/>
              <w:rPr>
                <w:rFonts w:eastAsia="Times New Roman" w:cs="Times New Roman"/>
                <w:b/>
                <w:bCs/>
                <w:color w:val="FFFFFF"/>
                <w:sz w:val="22"/>
              </w:rPr>
            </w:pPr>
            <w:r w:rsidRPr="00643B9F">
              <w:rPr>
                <w:rFonts w:eastAsia="Times New Roman" w:cs="Times New Roman"/>
                <w:b/>
                <w:bCs/>
                <w:color w:val="FFFFFF"/>
                <w:sz w:val="22"/>
              </w:rPr>
              <w:t>Bilgi ve iletişim</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15</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10,6</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11,8</w:t>
            </w:r>
          </w:p>
        </w:tc>
        <w:tc>
          <w:tcPr>
            <w:tcW w:w="40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39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13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228,2</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156,7</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173,3</w:t>
            </w:r>
          </w:p>
        </w:tc>
        <w:tc>
          <w:tcPr>
            <w:tcW w:w="40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39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1326"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2,9</w:t>
            </w:r>
          </w:p>
        </w:tc>
        <w:tc>
          <w:tcPr>
            <w:tcW w:w="549"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1,4</w:t>
            </w:r>
          </w:p>
        </w:tc>
        <w:tc>
          <w:tcPr>
            <w:tcW w:w="549"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2,4</w:t>
            </w:r>
          </w:p>
        </w:tc>
        <w:tc>
          <w:tcPr>
            <w:tcW w:w="40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39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r>
      <w:tr w:rsidR="00643B9F" w:rsidRPr="00643B9F" w:rsidTr="00643B9F">
        <w:trPr>
          <w:trHeight w:val="288"/>
        </w:trPr>
        <w:tc>
          <w:tcPr>
            <w:tcW w:w="2857" w:type="dxa"/>
            <w:tcBorders>
              <w:top w:val="nil"/>
              <w:left w:val="single" w:sz="4" w:space="0" w:color="FFFFFF"/>
              <w:bottom w:val="single" w:sz="4" w:space="0" w:color="FFFFFF"/>
              <w:right w:val="single" w:sz="4" w:space="0" w:color="FFFFFF"/>
            </w:tcBorders>
            <w:shd w:val="clear" w:color="000000" w:fill="1F497D"/>
            <w:vAlign w:val="bottom"/>
            <w:hideMark/>
          </w:tcPr>
          <w:p w:rsidR="00643B9F" w:rsidRPr="00643B9F" w:rsidRDefault="00643B9F" w:rsidP="00643B9F">
            <w:pPr>
              <w:spacing w:after="0" w:line="240" w:lineRule="auto"/>
              <w:jc w:val="left"/>
              <w:rPr>
                <w:rFonts w:eastAsia="Times New Roman" w:cs="Times New Roman"/>
                <w:b/>
                <w:bCs/>
                <w:color w:val="FFFFFF"/>
                <w:sz w:val="22"/>
              </w:rPr>
            </w:pPr>
            <w:r w:rsidRPr="00643B9F">
              <w:rPr>
                <w:rFonts w:eastAsia="Times New Roman" w:cs="Times New Roman"/>
                <w:b/>
                <w:bCs/>
                <w:color w:val="FFFFFF"/>
                <w:sz w:val="22"/>
              </w:rPr>
              <w:t xml:space="preserve">Finans ve sigorta faaliyetleri </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15</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19,5</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23,6</w:t>
            </w:r>
          </w:p>
        </w:tc>
        <w:tc>
          <w:tcPr>
            <w:tcW w:w="40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39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13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161,2</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207,7</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252,3</w:t>
            </w:r>
          </w:p>
        </w:tc>
        <w:tc>
          <w:tcPr>
            <w:tcW w:w="40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39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1326"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-16,2</w:t>
            </w:r>
          </w:p>
        </w:tc>
        <w:tc>
          <w:tcPr>
            <w:tcW w:w="549"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2,1</w:t>
            </w:r>
          </w:p>
        </w:tc>
        <w:tc>
          <w:tcPr>
            <w:tcW w:w="549"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9,3</w:t>
            </w:r>
          </w:p>
        </w:tc>
        <w:tc>
          <w:tcPr>
            <w:tcW w:w="40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39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r>
      <w:tr w:rsidR="00643B9F" w:rsidRPr="00643B9F" w:rsidTr="00643B9F">
        <w:trPr>
          <w:trHeight w:val="288"/>
        </w:trPr>
        <w:tc>
          <w:tcPr>
            <w:tcW w:w="2857" w:type="dxa"/>
            <w:tcBorders>
              <w:top w:val="nil"/>
              <w:left w:val="single" w:sz="4" w:space="0" w:color="FFFFFF"/>
              <w:bottom w:val="single" w:sz="4" w:space="0" w:color="FFFFFF"/>
              <w:right w:val="single" w:sz="4" w:space="0" w:color="FFFFFF"/>
            </w:tcBorders>
            <w:shd w:val="clear" w:color="000000" w:fill="1F497D"/>
            <w:vAlign w:val="bottom"/>
            <w:hideMark/>
          </w:tcPr>
          <w:p w:rsidR="00643B9F" w:rsidRPr="00643B9F" w:rsidRDefault="00643B9F" w:rsidP="00643B9F">
            <w:pPr>
              <w:spacing w:after="0" w:line="240" w:lineRule="auto"/>
              <w:jc w:val="left"/>
              <w:rPr>
                <w:rFonts w:eastAsia="Times New Roman" w:cs="Times New Roman"/>
                <w:b/>
                <w:bCs/>
                <w:color w:val="FFFFFF"/>
                <w:sz w:val="22"/>
              </w:rPr>
            </w:pPr>
            <w:r w:rsidRPr="00643B9F">
              <w:rPr>
                <w:rFonts w:eastAsia="Times New Roman" w:cs="Times New Roman"/>
                <w:b/>
                <w:bCs/>
                <w:color w:val="FFFFFF"/>
                <w:sz w:val="22"/>
              </w:rPr>
              <w:t xml:space="preserve">Gayrimenkul faaliyetleri </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36</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36,2</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35,7</w:t>
            </w:r>
          </w:p>
        </w:tc>
        <w:tc>
          <w:tcPr>
            <w:tcW w:w="40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39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13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137,4</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138,3</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136,1</w:t>
            </w:r>
          </w:p>
        </w:tc>
        <w:tc>
          <w:tcPr>
            <w:tcW w:w="40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39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1326"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4,7</w:t>
            </w:r>
          </w:p>
        </w:tc>
        <w:tc>
          <w:tcPr>
            <w:tcW w:w="549"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1,6</w:t>
            </w:r>
          </w:p>
        </w:tc>
        <w:tc>
          <w:tcPr>
            <w:tcW w:w="549"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2,8</w:t>
            </w:r>
          </w:p>
        </w:tc>
        <w:tc>
          <w:tcPr>
            <w:tcW w:w="40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39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r>
      <w:tr w:rsidR="00643B9F" w:rsidRPr="00643B9F" w:rsidTr="00643B9F">
        <w:trPr>
          <w:trHeight w:val="561"/>
        </w:trPr>
        <w:tc>
          <w:tcPr>
            <w:tcW w:w="2857" w:type="dxa"/>
            <w:tcBorders>
              <w:top w:val="nil"/>
              <w:left w:val="single" w:sz="4" w:space="0" w:color="FFFFFF"/>
              <w:bottom w:val="single" w:sz="4" w:space="0" w:color="FFFFFF"/>
              <w:right w:val="single" w:sz="4" w:space="0" w:color="FFFFFF"/>
            </w:tcBorders>
            <w:shd w:val="clear" w:color="000000" w:fill="1F497D"/>
            <w:vAlign w:val="bottom"/>
            <w:hideMark/>
          </w:tcPr>
          <w:p w:rsidR="00643B9F" w:rsidRPr="00643B9F" w:rsidRDefault="00643B9F" w:rsidP="00643B9F">
            <w:pPr>
              <w:spacing w:after="0" w:line="240" w:lineRule="auto"/>
              <w:jc w:val="left"/>
              <w:rPr>
                <w:rFonts w:eastAsia="Times New Roman" w:cs="Times New Roman"/>
                <w:b/>
                <w:bCs/>
                <w:color w:val="FFFFFF"/>
                <w:sz w:val="22"/>
              </w:rPr>
            </w:pPr>
            <w:r w:rsidRPr="00643B9F">
              <w:rPr>
                <w:rFonts w:eastAsia="Times New Roman" w:cs="Times New Roman"/>
                <w:b/>
                <w:bCs/>
                <w:color w:val="FFFFFF"/>
                <w:sz w:val="22"/>
              </w:rPr>
              <w:t xml:space="preserve">Mesleki, idari ve destek hizmet faaliyetleri </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25</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19,7</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21,5</w:t>
            </w:r>
          </w:p>
        </w:tc>
        <w:tc>
          <w:tcPr>
            <w:tcW w:w="40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39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13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226,5</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177,2</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193,4</w:t>
            </w:r>
          </w:p>
        </w:tc>
        <w:tc>
          <w:tcPr>
            <w:tcW w:w="40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39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1326"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-10,2</w:t>
            </w:r>
          </w:p>
        </w:tc>
        <w:tc>
          <w:tcPr>
            <w:tcW w:w="549"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-12,5</w:t>
            </w:r>
          </w:p>
        </w:tc>
        <w:tc>
          <w:tcPr>
            <w:tcW w:w="549"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-4,3</w:t>
            </w:r>
          </w:p>
        </w:tc>
        <w:tc>
          <w:tcPr>
            <w:tcW w:w="40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39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r>
      <w:tr w:rsidR="00643B9F" w:rsidRPr="00643B9F" w:rsidTr="00643B9F">
        <w:trPr>
          <w:trHeight w:val="561"/>
        </w:trPr>
        <w:tc>
          <w:tcPr>
            <w:tcW w:w="2857" w:type="dxa"/>
            <w:tcBorders>
              <w:top w:val="nil"/>
              <w:left w:val="single" w:sz="4" w:space="0" w:color="FFFFFF"/>
              <w:bottom w:val="single" w:sz="4" w:space="0" w:color="FFFFFF"/>
              <w:right w:val="single" w:sz="4" w:space="0" w:color="FFFFFF"/>
            </w:tcBorders>
            <w:shd w:val="clear" w:color="000000" w:fill="1F497D"/>
            <w:vAlign w:val="bottom"/>
            <w:hideMark/>
          </w:tcPr>
          <w:p w:rsidR="00643B9F" w:rsidRPr="00643B9F" w:rsidRDefault="00643B9F" w:rsidP="00643B9F">
            <w:pPr>
              <w:spacing w:after="0" w:line="240" w:lineRule="auto"/>
              <w:jc w:val="left"/>
              <w:rPr>
                <w:rFonts w:eastAsia="Times New Roman" w:cs="Times New Roman"/>
                <w:b/>
                <w:bCs/>
                <w:color w:val="FFFFFF"/>
                <w:sz w:val="22"/>
              </w:rPr>
            </w:pPr>
            <w:r w:rsidRPr="00643B9F">
              <w:rPr>
                <w:rFonts w:eastAsia="Times New Roman" w:cs="Times New Roman"/>
                <w:b/>
                <w:bCs/>
                <w:color w:val="FFFFFF"/>
                <w:sz w:val="22"/>
              </w:rPr>
              <w:t>Kamu yönetimi, eğitim, insan sağlığı ve sosyal hizmet faaliyetleri</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45</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46,1</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46,8</w:t>
            </w:r>
          </w:p>
        </w:tc>
        <w:tc>
          <w:tcPr>
            <w:tcW w:w="40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39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13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151,6</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155,3</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157,7</w:t>
            </w:r>
          </w:p>
        </w:tc>
        <w:tc>
          <w:tcPr>
            <w:tcW w:w="40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39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1326"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5,7</w:t>
            </w:r>
          </w:p>
        </w:tc>
        <w:tc>
          <w:tcPr>
            <w:tcW w:w="549"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8,9</w:t>
            </w:r>
          </w:p>
        </w:tc>
        <w:tc>
          <w:tcPr>
            <w:tcW w:w="549"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2,5</w:t>
            </w:r>
          </w:p>
        </w:tc>
        <w:tc>
          <w:tcPr>
            <w:tcW w:w="40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39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r>
      <w:tr w:rsidR="00643B9F" w:rsidRPr="00643B9F" w:rsidTr="00643B9F">
        <w:trPr>
          <w:trHeight w:val="288"/>
        </w:trPr>
        <w:tc>
          <w:tcPr>
            <w:tcW w:w="2857" w:type="dxa"/>
            <w:tcBorders>
              <w:top w:val="nil"/>
              <w:left w:val="single" w:sz="4" w:space="0" w:color="FFFFFF"/>
              <w:bottom w:val="single" w:sz="4" w:space="0" w:color="FFFFFF"/>
              <w:right w:val="single" w:sz="4" w:space="0" w:color="FFFFFF"/>
            </w:tcBorders>
            <w:shd w:val="clear" w:color="000000" w:fill="1F497D"/>
            <w:vAlign w:val="bottom"/>
            <w:hideMark/>
          </w:tcPr>
          <w:p w:rsidR="00643B9F" w:rsidRPr="00643B9F" w:rsidRDefault="00643B9F" w:rsidP="00643B9F">
            <w:pPr>
              <w:spacing w:after="0" w:line="240" w:lineRule="auto"/>
              <w:jc w:val="left"/>
              <w:rPr>
                <w:rFonts w:eastAsia="Times New Roman" w:cs="Times New Roman"/>
                <w:b/>
                <w:bCs/>
                <w:color w:val="FFFFFF"/>
                <w:sz w:val="22"/>
              </w:rPr>
            </w:pPr>
            <w:r w:rsidRPr="00643B9F">
              <w:rPr>
                <w:rFonts w:eastAsia="Times New Roman" w:cs="Times New Roman"/>
                <w:b/>
                <w:bCs/>
                <w:color w:val="FFFFFF"/>
                <w:sz w:val="22"/>
              </w:rPr>
              <w:t xml:space="preserve">Diğer hizmet faaliyetleri </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8</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8,1</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7,9</w:t>
            </w:r>
          </w:p>
        </w:tc>
        <w:tc>
          <w:tcPr>
            <w:tcW w:w="40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39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13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170,4</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165,9</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163,0</w:t>
            </w:r>
          </w:p>
        </w:tc>
        <w:tc>
          <w:tcPr>
            <w:tcW w:w="40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39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1326"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-2,6</w:t>
            </w:r>
          </w:p>
        </w:tc>
        <w:tc>
          <w:tcPr>
            <w:tcW w:w="549"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-1,7</w:t>
            </w:r>
          </w:p>
        </w:tc>
        <w:tc>
          <w:tcPr>
            <w:tcW w:w="549"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-2,9</w:t>
            </w:r>
          </w:p>
        </w:tc>
        <w:tc>
          <w:tcPr>
            <w:tcW w:w="40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39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r>
      <w:tr w:rsidR="00643B9F" w:rsidRPr="00643B9F" w:rsidTr="00643B9F">
        <w:trPr>
          <w:trHeight w:val="288"/>
        </w:trPr>
        <w:tc>
          <w:tcPr>
            <w:tcW w:w="2857" w:type="dxa"/>
            <w:tcBorders>
              <w:top w:val="nil"/>
              <w:left w:val="single" w:sz="4" w:space="0" w:color="FFFFFF"/>
              <w:bottom w:val="single" w:sz="4" w:space="0" w:color="FFFFFF"/>
              <w:right w:val="single" w:sz="4" w:space="0" w:color="FFFFFF"/>
            </w:tcBorders>
            <w:shd w:val="clear" w:color="000000" w:fill="1F497D"/>
            <w:vAlign w:val="bottom"/>
            <w:hideMark/>
          </w:tcPr>
          <w:p w:rsidR="00643B9F" w:rsidRPr="00643B9F" w:rsidRDefault="00643B9F" w:rsidP="00643B9F">
            <w:pPr>
              <w:spacing w:after="0" w:line="240" w:lineRule="auto"/>
              <w:jc w:val="left"/>
              <w:rPr>
                <w:rFonts w:eastAsia="Times New Roman" w:cs="Times New Roman"/>
                <w:b/>
                <w:bCs/>
                <w:color w:val="FFFFFF"/>
                <w:sz w:val="22"/>
              </w:rPr>
            </w:pPr>
            <w:r w:rsidRPr="00643B9F">
              <w:rPr>
                <w:rFonts w:eastAsia="Times New Roman" w:cs="Times New Roman"/>
                <w:b/>
                <w:bCs/>
                <w:color w:val="FFFFFF"/>
                <w:sz w:val="22"/>
              </w:rPr>
              <w:t>Sektörler toplamı</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400</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345,3</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378,2</w:t>
            </w:r>
          </w:p>
        </w:tc>
        <w:tc>
          <w:tcPr>
            <w:tcW w:w="40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39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13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179,5</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155,0</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169,8</w:t>
            </w:r>
          </w:p>
        </w:tc>
        <w:tc>
          <w:tcPr>
            <w:tcW w:w="40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39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1326"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-2,3</w:t>
            </w:r>
          </w:p>
        </w:tc>
        <w:tc>
          <w:tcPr>
            <w:tcW w:w="549"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-1,8</w:t>
            </w:r>
          </w:p>
        </w:tc>
        <w:tc>
          <w:tcPr>
            <w:tcW w:w="549"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-1,2</w:t>
            </w:r>
          </w:p>
        </w:tc>
        <w:tc>
          <w:tcPr>
            <w:tcW w:w="40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39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r>
      <w:tr w:rsidR="00643B9F" w:rsidRPr="00643B9F" w:rsidTr="00643B9F">
        <w:trPr>
          <w:trHeight w:val="288"/>
        </w:trPr>
        <w:tc>
          <w:tcPr>
            <w:tcW w:w="2857" w:type="dxa"/>
            <w:tcBorders>
              <w:top w:val="nil"/>
              <w:left w:val="single" w:sz="4" w:space="0" w:color="FFFFFF"/>
              <w:bottom w:val="single" w:sz="4" w:space="0" w:color="FFFFFF"/>
              <w:right w:val="single" w:sz="4" w:space="0" w:color="FFFFFF"/>
            </w:tcBorders>
            <w:shd w:val="clear" w:color="000000" w:fill="1F497D"/>
            <w:vAlign w:val="bottom"/>
            <w:hideMark/>
          </w:tcPr>
          <w:p w:rsidR="00643B9F" w:rsidRPr="00643B9F" w:rsidRDefault="00643B9F" w:rsidP="00643B9F">
            <w:pPr>
              <w:spacing w:after="0" w:line="240" w:lineRule="auto"/>
              <w:jc w:val="left"/>
              <w:rPr>
                <w:rFonts w:eastAsia="Times New Roman" w:cs="Times New Roman"/>
                <w:b/>
                <w:bCs/>
                <w:color w:val="FFFFFF"/>
                <w:sz w:val="22"/>
              </w:rPr>
            </w:pPr>
            <w:r w:rsidRPr="00643B9F">
              <w:rPr>
                <w:rFonts w:eastAsia="Times New Roman" w:cs="Times New Roman"/>
                <w:b/>
                <w:bCs/>
                <w:color w:val="FFFFFF"/>
                <w:sz w:val="22"/>
              </w:rPr>
              <w:t>Vergi-sübvansiyon</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51</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41,0</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48,2</w:t>
            </w:r>
          </w:p>
        </w:tc>
        <w:tc>
          <w:tcPr>
            <w:tcW w:w="40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39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13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189,5</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151,7</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178,3</w:t>
            </w:r>
          </w:p>
        </w:tc>
        <w:tc>
          <w:tcPr>
            <w:tcW w:w="40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39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1326"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-8,1</w:t>
            </w:r>
          </w:p>
        </w:tc>
        <w:tc>
          <w:tcPr>
            <w:tcW w:w="549"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-7,0</w:t>
            </w:r>
          </w:p>
        </w:tc>
        <w:tc>
          <w:tcPr>
            <w:tcW w:w="549"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-4,2</w:t>
            </w:r>
          </w:p>
        </w:tc>
        <w:tc>
          <w:tcPr>
            <w:tcW w:w="40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39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r>
      <w:tr w:rsidR="00643B9F" w:rsidRPr="00643B9F" w:rsidTr="00643B9F">
        <w:trPr>
          <w:trHeight w:val="561"/>
        </w:trPr>
        <w:tc>
          <w:tcPr>
            <w:tcW w:w="2857" w:type="dxa"/>
            <w:tcBorders>
              <w:top w:val="nil"/>
              <w:left w:val="single" w:sz="4" w:space="0" w:color="FFFFFF"/>
              <w:bottom w:val="single" w:sz="4" w:space="0" w:color="FFFFFF"/>
              <w:right w:val="single" w:sz="4" w:space="0" w:color="FFFFFF"/>
            </w:tcBorders>
            <w:shd w:val="clear" w:color="000000" w:fill="1F497D"/>
            <w:vAlign w:val="bottom"/>
            <w:hideMark/>
          </w:tcPr>
          <w:p w:rsidR="00643B9F" w:rsidRPr="00643B9F" w:rsidRDefault="00643B9F" w:rsidP="00643B9F">
            <w:pPr>
              <w:spacing w:after="0" w:line="240" w:lineRule="auto"/>
              <w:jc w:val="left"/>
              <w:rPr>
                <w:rFonts w:eastAsia="Times New Roman" w:cs="Times New Roman"/>
                <w:b/>
                <w:bCs/>
                <w:color w:val="FFFFFF"/>
                <w:sz w:val="22"/>
              </w:rPr>
            </w:pPr>
            <w:r w:rsidRPr="00643B9F">
              <w:rPr>
                <w:rFonts w:eastAsia="Times New Roman" w:cs="Times New Roman"/>
                <w:b/>
                <w:bCs/>
                <w:color w:val="FFFFFF"/>
                <w:sz w:val="22"/>
              </w:rPr>
              <w:t>Gayrisafi yurt içi hasıla (alıcı fiyatlarıyla)</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451</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386,6</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426,3</w:t>
            </w:r>
          </w:p>
        </w:tc>
        <w:tc>
          <w:tcPr>
            <w:tcW w:w="40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39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13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180,5</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154,8</w:t>
            </w:r>
          </w:p>
        </w:tc>
        <w:tc>
          <w:tcPr>
            <w:tcW w:w="642"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170,7</w:t>
            </w:r>
          </w:p>
        </w:tc>
        <w:tc>
          <w:tcPr>
            <w:tcW w:w="40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39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1326"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-3,0</w:t>
            </w:r>
          </w:p>
        </w:tc>
        <w:tc>
          <w:tcPr>
            <w:tcW w:w="549"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-2,4</w:t>
            </w:r>
          </w:p>
        </w:tc>
        <w:tc>
          <w:tcPr>
            <w:tcW w:w="549"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-1,5</w:t>
            </w:r>
          </w:p>
        </w:tc>
        <w:tc>
          <w:tcPr>
            <w:tcW w:w="40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c>
          <w:tcPr>
            <w:tcW w:w="391" w:type="dxa"/>
            <w:tcBorders>
              <w:top w:val="nil"/>
              <w:left w:val="nil"/>
              <w:bottom w:val="single" w:sz="4" w:space="0" w:color="auto"/>
              <w:right w:val="single" w:sz="4" w:space="0" w:color="auto"/>
            </w:tcBorders>
            <w:shd w:val="clear" w:color="auto" w:fill="auto"/>
            <w:noWrap/>
            <w:vAlign w:val="center"/>
            <w:hideMark/>
          </w:tcPr>
          <w:p w:rsidR="00643B9F" w:rsidRPr="00643B9F" w:rsidRDefault="00643B9F" w:rsidP="00643B9F">
            <w:pPr>
              <w:spacing w:after="0" w:line="240" w:lineRule="auto"/>
              <w:jc w:val="center"/>
              <w:rPr>
                <w:rFonts w:eastAsia="Times New Roman" w:cs="Times New Roman"/>
                <w:color w:val="000000"/>
                <w:sz w:val="22"/>
              </w:rPr>
            </w:pPr>
            <w:r w:rsidRPr="00643B9F">
              <w:rPr>
                <w:rFonts w:eastAsia="Times New Roman" w:cs="Times New Roman"/>
                <w:color w:val="000000"/>
                <w:sz w:val="22"/>
              </w:rPr>
              <w:t>-</w:t>
            </w:r>
          </w:p>
        </w:tc>
      </w:tr>
    </w:tbl>
    <w:p w:rsidR="001D3A48" w:rsidRDefault="00735E1C" w:rsidP="00262142">
      <w:pPr>
        <w:rPr>
          <w:szCs w:val="24"/>
        </w:rPr>
      </w:pPr>
      <w:r w:rsidRPr="00567194">
        <w:rPr>
          <w:rFonts w:cs="Times New Roman"/>
          <w:b/>
          <w:sz w:val="20"/>
          <w:szCs w:val="14"/>
        </w:rPr>
        <w:t xml:space="preserve"> </w:t>
      </w:r>
      <w:r w:rsidR="00455DBF" w:rsidRPr="00030D4B">
        <w:rPr>
          <w:szCs w:val="24"/>
        </w:rPr>
        <w:t>İl bazında GSYH değerleri incelendiğinde 2017</w:t>
      </w:r>
      <w:r w:rsidR="00710FA9">
        <w:rPr>
          <w:szCs w:val="24"/>
        </w:rPr>
        <w:t xml:space="preserve"> yılı verilerine göre 970 milyar</w:t>
      </w:r>
      <w:r w:rsidR="00455DBF" w:rsidRPr="00030D4B">
        <w:rPr>
          <w:szCs w:val="24"/>
        </w:rPr>
        <w:t xml:space="preserve"> TL ile İstanbul</w:t>
      </w:r>
      <w:r w:rsidR="00455DBF">
        <w:rPr>
          <w:szCs w:val="24"/>
        </w:rPr>
        <w:t xml:space="preserve"> ilk sırada yer alırken</w:t>
      </w:r>
      <w:r w:rsidR="00455DBF" w:rsidRPr="00030D4B">
        <w:rPr>
          <w:szCs w:val="24"/>
        </w:rPr>
        <w:t>,</w:t>
      </w:r>
      <w:r w:rsidR="00455DBF">
        <w:rPr>
          <w:szCs w:val="24"/>
        </w:rPr>
        <w:t xml:space="preserve"> İstanbul’u</w:t>
      </w:r>
      <w:r w:rsidR="00710FA9">
        <w:rPr>
          <w:szCs w:val="24"/>
        </w:rPr>
        <w:t xml:space="preserve"> 281 milyar</w:t>
      </w:r>
      <w:r w:rsidR="00455DBF" w:rsidRPr="00030D4B">
        <w:rPr>
          <w:szCs w:val="24"/>
        </w:rPr>
        <w:t xml:space="preserve"> TL il</w:t>
      </w:r>
      <w:r w:rsidR="00710FA9">
        <w:rPr>
          <w:szCs w:val="24"/>
        </w:rPr>
        <w:t>e Ankara ve 191 milyar</w:t>
      </w:r>
      <w:r w:rsidR="00455DBF" w:rsidRPr="00030D4B">
        <w:rPr>
          <w:szCs w:val="24"/>
        </w:rPr>
        <w:t xml:space="preserve"> TL ile İzmir </w:t>
      </w:r>
      <w:r w:rsidR="00455DBF">
        <w:rPr>
          <w:szCs w:val="24"/>
        </w:rPr>
        <w:t>takip etmektedir</w:t>
      </w:r>
      <w:r w:rsidR="00455DBF" w:rsidRPr="00030D4B">
        <w:rPr>
          <w:szCs w:val="24"/>
        </w:rPr>
        <w:t>. Bu illeri</w:t>
      </w:r>
      <w:r w:rsidR="00455DBF">
        <w:rPr>
          <w:szCs w:val="24"/>
        </w:rPr>
        <w:t xml:space="preserve">n </w:t>
      </w:r>
      <w:r w:rsidR="008B63DE">
        <w:rPr>
          <w:szCs w:val="24"/>
        </w:rPr>
        <w:t xml:space="preserve">ardından </w:t>
      </w:r>
      <w:r w:rsidR="008B63DE" w:rsidRPr="00030D4B">
        <w:rPr>
          <w:szCs w:val="24"/>
        </w:rPr>
        <w:t>sırasıyla</w:t>
      </w:r>
      <w:r w:rsidR="00455DBF" w:rsidRPr="00030D4B">
        <w:rPr>
          <w:szCs w:val="24"/>
        </w:rPr>
        <w:t xml:space="preserve"> Bursa, Kocaeli ve Antalya </w:t>
      </w:r>
      <w:r w:rsidR="00455DBF">
        <w:rPr>
          <w:szCs w:val="24"/>
        </w:rPr>
        <w:t>gel</w:t>
      </w:r>
      <w:r w:rsidR="00455DBF" w:rsidRPr="00030D4B">
        <w:rPr>
          <w:szCs w:val="24"/>
        </w:rPr>
        <w:t>mektedir.</w:t>
      </w:r>
      <w:r w:rsidR="00455DBF">
        <w:rPr>
          <w:szCs w:val="24"/>
        </w:rPr>
        <w:t xml:space="preserve"> Öte yandan en düşük GSYH değerine sahip iller ise sırasıyla </w:t>
      </w:r>
      <w:r w:rsidR="00D40A8B">
        <w:rPr>
          <w:szCs w:val="24"/>
        </w:rPr>
        <w:t>Bayburt, Ardahan ve Tunceli’dir</w:t>
      </w:r>
      <w:r w:rsidR="00455DBF">
        <w:rPr>
          <w:szCs w:val="24"/>
        </w:rPr>
        <w:t xml:space="preserve">. Bu illerin sahip olduğu GSYH değerleri ise yine sırasıyla </w:t>
      </w:r>
      <w:r w:rsidR="00D40A8B">
        <w:rPr>
          <w:szCs w:val="24"/>
        </w:rPr>
        <w:t>1,8</w:t>
      </w:r>
      <w:r w:rsidR="00710FA9">
        <w:rPr>
          <w:szCs w:val="24"/>
        </w:rPr>
        <w:t xml:space="preserve"> milyar</w:t>
      </w:r>
      <w:r w:rsidR="00455DBF">
        <w:rPr>
          <w:szCs w:val="24"/>
        </w:rPr>
        <w:t xml:space="preserve"> TL</w:t>
      </w:r>
      <w:r w:rsidR="00710FA9">
        <w:rPr>
          <w:szCs w:val="24"/>
        </w:rPr>
        <w:t>, 2,2 milyar</w:t>
      </w:r>
      <w:r w:rsidR="00D40A8B">
        <w:rPr>
          <w:szCs w:val="24"/>
        </w:rPr>
        <w:t xml:space="preserve"> TL ve 2,7</w:t>
      </w:r>
      <w:r w:rsidR="00710FA9">
        <w:rPr>
          <w:szCs w:val="24"/>
        </w:rPr>
        <w:t xml:space="preserve"> milyar</w:t>
      </w:r>
      <w:r w:rsidR="00D40A8B">
        <w:rPr>
          <w:szCs w:val="24"/>
        </w:rPr>
        <w:t xml:space="preserve"> TL</w:t>
      </w:r>
      <w:r w:rsidR="00455DBF">
        <w:rPr>
          <w:szCs w:val="24"/>
        </w:rPr>
        <w:t xml:space="preserve">’dir. İllerin </w:t>
      </w:r>
      <w:r w:rsidR="0026381F">
        <w:rPr>
          <w:szCs w:val="24"/>
        </w:rPr>
        <w:t xml:space="preserve">2017 yılı </w:t>
      </w:r>
      <w:r w:rsidR="00455DBF">
        <w:rPr>
          <w:szCs w:val="24"/>
        </w:rPr>
        <w:t>GSYH değerlerinin harita üzerinde gösterimi ise Ek-1’de verilmiştir.</w:t>
      </w:r>
    </w:p>
    <w:p w:rsidR="00455DBF" w:rsidRDefault="00455DBF" w:rsidP="00262142">
      <w:pPr>
        <w:rPr>
          <w:szCs w:val="24"/>
        </w:rPr>
        <w:sectPr w:rsidR="00455DBF" w:rsidSect="00262142">
          <w:pgSz w:w="15840" w:h="12240" w:orient="landscape"/>
          <w:pgMar w:top="709" w:right="1417" w:bottom="1417" w:left="1417" w:header="708" w:footer="708" w:gutter="0"/>
          <w:cols w:space="708"/>
          <w:docGrid w:linePitch="360"/>
        </w:sectPr>
      </w:pPr>
    </w:p>
    <w:p w:rsidR="0020426A" w:rsidRDefault="006858CA" w:rsidP="00262142">
      <w:pPr>
        <w:rPr>
          <w:szCs w:val="24"/>
        </w:rPr>
      </w:pPr>
      <w:r>
        <w:rPr>
          <w:szCs w:val="24"/>
        </w:rPr>
        <w:lastRenderedPageBreak/>
        <w:t>Üretim yöntemi ile hesaplanan GYSH değerlerinde t</w:t>
      </w:r>
      <w:r w:rsidR="000D3EEA">
        <w:rPr>
          <w:szCs w:val="24"/>
        </w:rPr>
        <w:t>arım, ormancılık ve balıkçılık, hizmetler ve sanayi sektörlerinin GSYH içindeki payları incelendiğinde hizmetler</w:t>
      </w:r>
      <w:r w:rsidR="00D77FD3">
        <w:rPr>
          <w:szCs w:val="24"/>
        </w:rPr>
        <w:t xml:space="preserve"> yıllık</w:t>
      </w:r>
      <w:r w:rsidR="000D3EEA">
        <w:rPr>
          <w:szCs w:val="24"/>
        </w:rPr>
        <w:t xml:space="preserve"> ortalama</w:t>
      </w:r>
      <w:r w:rsidR="00DF701F">
        <w:rPr>
          <w:szCs w:val="24"/>
        </w:rPr>
        <w:t xml:space="preserve"> yüzde 60,7</w:t>
      </w:r>
      <w:r w:rsidR="000D3EEA">
        <w:rPr>
          <w:szCs w:val="24"/>
        </w:rPr>
        <w:t xml:space="preserve"> ile en yüksek paya sahiptir. Sanayi sektörü </w:t>
      </w:r>
      <w:r w:rsidR="00D77FD3">
        <w:rPr>
          <w:szCs w:val="24"/>
        </w:rPr>
        <w:t xml:space="preserve">yıllık </w:t>
      </w:r>
      <w:r w:rsidR="00DF701F">
        <w:rPr>
          <w:szCs w:val="24"/>
        </w:rPr>
        <w:t>ortalama yüzde 32,9</w:t>
      </w:r>
      <w:r w:rsidR="000D3EEA">
        <w:rPr>
          <w:szCs w:val="24"/>
        </w:rPr>
        <w:t xml:space="preserve">, tarım, ormancılık ve balıkçılık </w:t>
      </w:r>
      <w:r w:rsidR="00D77FD3">
        <w:rPr>
          <w:szCs w:val="24"/>
        </w:rPr>
        <w:t xml:space="preserve">sektörü ise yıllık </w:t>
      </w:r>
      <w:r w:rsidR="000A4377">
        <w:rPr>
          <w:szCs w:val="24"/>
        </w:rPr>
        <w:t>ortalama yüzde 6,4</w:t>
      </w:r>
      <w:r w:rsidR="00D77FD3">
        <w:rPr>
          <w:szCs w:val="24"/>
        </w:rPr>
        <w:t>’lik bir</w:t>
      </w:r>
      <w:r w:rsidR="000D3EEA">
        <w:rPr>
          <w:szCs w:val="24"/>
        </w:rPr>
        <w:t xml:space="preserve"> paya sahiptir</w:t>
      </w:r>
      <w:r w:rsidR="008A71D6">
        <w:rPr>
          <w:szCs w:val="24"/>
        </w:rPr>
        <w:t xml:space="preserve"> (Tablo 4)</w:t>
      </w:r>
      <w:r w:rsidR="000D3EEA">
        <w:rPr>
          <w:szCs w:val="24"/>
        </w:rPr>
        <w:t>. Tarım, ormancılık ve balıkçılık sektörü</w:t>
      </w:r>
      <w:r w:rsidR="00793755">
        <w:rPr>
          <w:szCs w:val="24"/>
        </w:rPr>
        <w:t xml:space="preserve"> 2019</w:t>
      </w:r>
      <w:r w:rsidR="00D77FD3">
        <w:rPr>
          <w:szCs w:val="24"/>
        </w:rPr>
        <w:t xml:space="preserve"> yılı içerisinde</w:t>
      </w:r>
      <w:r w:rsidR="00DF701F">
        <w:rPr>
          <w:szCs w:val="24"/>
        </w:rPr>
        <w:t xml:space="preserve"> ikinci</w:t>
      </w:r>
      <w:r w:rsidR="000D3EEA">
        <w:rPr>
          <w:szCs w:val="24"/>
        </w:rPr>
        <w:t xml:space="preserve"> çeyrekte </w:t>
      </w:r>
      <w:r w:rsidR="00D77FD3">
        <w:rPr>
          <w:szCs w:val="24"/>
        </w:rPr>
        <w:t xml:space="preserve">GSYH’den aldığı payı </w:t>
      </w:r>
      <w:r w:rsidR="00DF701F">
        <w:rPr>
          <w:szCs w:val="24"/>
        </w:rPr>
        <w:t>önceki çeyreğe göre arttırarak 5,0</w:t>
      </w:r>
      <w:r w:rsidR="00793755">
        <w:rPr>
          <w:szCs w:val="24"/>
        </w:rPr>
        <w:t xml:space="preserve"> seviyesinde gerçekleşmiş</w:t>
      </w:r>
      <w:r w:rsidR="0020426A">
        <w:rPr>
          <w:szCs w:val="24"/>
        </w:rPr>
        <w:t>tir.</w:t>
      </w:r>
      <w:r w:rsidR="00D77FD3">
        <w:rPr>
          <w:szCs w:val="24"/>
        </w:rPr>
        <w:t xml:space="preserve"> Öte yandan </w:t>
      </w:r>
      <w:r w:rsidR="00DF701F">
        <w:rPr>
          <w:szCs w:val="24"/>
        </w:rPr>
        <w:t>2019</w:t>
      </w:r>
      <w:r w:rsidR="0020426A">
        <w:rPr>
          <w:szCs w:val="24"/>
        </w:rPr>
        <w:t xml:space="preserve"> yılı </w:t>
      </w:r>
      <w:r w:rsidR="00DF701F">
        <w:rPr>
          <w:szCs w:val="24"/>
        </w:rPr>
        <w:t>birinci</w:t>
      </w:r>
      <w:r w:rsidR="0020426A">
        <w:rPr>
          <w:szCs w:val="24"/>
        </w:rPr>
        <w:t xml:space="preserve"> çeyreğine</w:t>
      </w:r>
      <w:r w:rsidR="00793755">
        <w:rPr>
          <w:szCs w:val="24"/>
        </w:rPr>
        <w:t xml:space="preserve"> göre </w:t>
      </w:r>
      <w:r w:rsidR="00D77FD3">
        <w:rPr>
          <w:szCs w:val="24"/>
        </w:rPr>
        <w:t xml:space="preserve">hizmetler </w:t>
      </w:r>
      <w:r w:rsidR="00793755">
        <w:rPr>
          <w:szCs w:val="24"/>
        </w:rPr>
        <w:t xml:space="preserve">GSYH’ dan aldığı payı </w:t>
      </w:r>
      <w:r w:rsidR="00DF701F">
        <w:rPr>
          <w:szCs w:val="24"/>
        </w:rPr>
        <w:t>azaltırken</w:t>
      </w:r>
      <w:r w:rsidR="0020426A">
        <w:rPr>
          <w:szCs w:val="24"/>
        </w:rPr>
        <w:t xml:space="preserve"> sanayi sektör</w:t>
      </w:r>
      <w:r w:rsidR="00DF701F">
        <w:rPr>
          <w:szCs w:val="24"/>
        </w:rPr>
        <w:t>ünün payı son çeyrekte yüzde 0,8</w:t>
      </w:r>
      <w:r w:rsidR="0020426A">
        <w:rPr>
          <w:szCs w:val="24"/>
        </w:rPr>
        <w:t xml:space="preserve"> azalmıştır.</w:t>
      </w:r>
    </w:p>
    <w:p w:rsidR="00294167" w:rsidRPr="00A513CE" w:rsidRDefault="0020426A" w:rsidP="00262142">
      <w:pPr>
        <w:rPr>
          <w:rFonts w:cs="Times New Roman"/>
          <w:b/>
          <w:sz w:val="16"/>
          <w:szCs w:val="14"/>
        </w:rPr>
      </w:pPr>
      <w:r>
        <w:rPr>
          <w:szCs w:val="24"/>
        </w:rPr>
        <w:t xml:space="preserve"> </w:t>
      </w:r>
      <w:r w:rsidR="00C62C37" w:rsidRPr="00A513CE">
        <w:rPr>
          <w:rFonts w:cs="Times New Roman"/>
          <w:b/>
        </w:rPr>
        <w:t xml:space="preserve">Tablo 4: GSYH içindeki sektörlerin </w:t>
      </w:r>
      <w:r w:rsidR="00C62C37" w:rsidRPr="00A513CE">
        <w:rPr>
          <w:rFonts w:cs="Times New Roman"/>
          <w:b/>
          <w:color w:val="000000" w:themeColor="text1"/>
        </w:rPr>
        <w:t>payı</w:t>
      </w:r>
      <w:r w:rsidR="00793755">
        <w:rPr>
          <w:rFonts w:cs="Times New Roman"/>
          <w:b/>
          <w:color w:val="000000" w:themeColor="text1"/>
        </w:rPr>
        <w:t>, 2019</w:t>
      </w:r>
    </w:p>
    <w:p w:rsidR="00817B43" w:rsidRDefault="00D40A8B" w:rsidP="00817B43">
      <w:pPr>
        <w:rPr>
          <w:szCs w:val="24"/>
        </w:rPr>
      </w:pPr>
      <w:r w:rsidRPr="00D40A8B">
        <w:rPr>
          <w:szCs w:val="24"/>
        </w:rPr>
        <w:t xml:space="preserve"> </w:t>
      </w:r>
    </w:p>
    <w:tbl>
      <w:tblPr>
        <w:tblW w:w="9140" w:type="dxa"/>
        <w:tblInd w:w="75" w:type="dxa"/>
        <w:tblCellMar>
          <w:left w:w="70" w:type="dxa"/>
          <w:right w:w="70" w:type="dxa"/>
        </w:tblCellMar>
        <w:tblLook w:val="04A0" w:firstRow="1" w:lastRow="0" w:firstColumn="1" w:lastColumn="0" w:noHBand="0" w:noVBand="1"/>
      </w:tblPr>
      <w:tblGrid>
        <w:gridCol w:w="1880"/>
        <w:gridCol w:w="1580"/>
        <w:gridCol w:w="1420"/>
        <w:gridCol w:w="1420"/>
        <w:gridCol w:w="1420"/>
        <w:gridCol w:w="1420"/>
      </w:tblGrid>
      <w:tr w:rsidR="00643B9F" w:rsidRPr="00643B9F" w:rsidTr="00643B9F">
        <w:trPr>
          <w:trHeight w:val="315"/>
        </w:trPr>
        <w:tc>
          <w:tcPr>
            <w:tcW w:w="1880" w:type="dxa"/>
            <w:tcBorders>
              <w:top w:val="single" w:sz="4" w:space="0" w:color="FFFFFF"/>
              <w:left w:val="single" w:sz="4" w:space="0" w:color="FFFFFF"/>
              <w:bottom w:val="nil"/>
              <w:right w:val="single" w:sz="4" w:space="0" w:color="FFFFFF"/>
            </w:tcBorders>
            <w:shd w:val="clear" w:color="auto" w:fill="auto"/>
            <w:vAlign w:val="center"/>
            <w:hideMark/>
          </w:tcPr>
          <w:p w:rsidR="00643B9F" w:rsidRPr="00643B9F" w:rsidRDefault="00643B9F" w:rsidP="00643B9F">
            <w:pPr>
              <w:spacing w:after="0" w:line="240" w:lineRule="auto"/>
              <w:jc w:val="left"/>
              <w:rPr>
                <w:rFonts w:eastAsia="Times New Roman" w:cs="Times New Roman"/>
                <w:color w:val="000000"/>
                <w:szCs w:val="24"/>
              </w:rPr>
            </w:pPr>
          </w:p>
        </w:tc>
        <w:tc>
          <w:tcPr>
            <w:tcW w:w="7260" w:type="dxa"/>
            <w:gridSpan w:val="5"/>
            <w:tcBorders>
              <w:top w:val="single" w:sz="4" w:space="0" w:color="FFFFFF"/>
              <w:left w:val="nil"/>
              <w:bottom w:val="single" w:sz="4" w:space="0" w:color="FFFFFF"/>
              <w:right w:val="single" w:sz="4" w:space="0" w:color="FFFFFF"/>
            </w:tcBorders>
            <w:shd w:val="clear" w:color="000000" w:fill="1F497D"/>
            <w:vAlign w:val="center"/>
            <w:hideMark/>
          </w:tcPr>
          <w:p w:rsidR="00643B9F" w:rsidRPr="00643B9F" w:rsidRDefault="00643B9F" w:rsidP="00643B9F">
            <w:pPr>
              <w:spacing w:after="0" w:line="240" w:lineRule="auto"/>
              <w:jc w:val="center"/>
              <w:rPr>
                <w:rFonts w:eastAsia="Times New Roman" w:cs="Times New Roman"/>
                <w:b/>
                <w:bCs/>
                <w:color w:val="FFFFFF"/>
                <w:szCs w:val="24"/>
              </w:rPr>
            </w:pPr>
            <w:r w:rsidRPr="00643B9F">
              <w:rPr>
                <w:rFonts w:eastAsia="Times New Roman" w:cs="Times New Roman"/>
                <w:b/>
                <w:bCs/>
                <w:color w:val="FFFFFF"/>
                <w:szCs w:val="24"/>
              </w:rPr>
              <w:t>Sektörlere göre cari fiyatlarla değer payı</w:t>
            </w:r>
          </w:p>
        </w:tc>
      </w:tr>
      <w:tr w:rsidR="00643B9F" w:rsidRPr="00643B9F" w:rsidTr="00643B9F">
        <w:trPr>
          <w:trHeight w:val="315"/>
        </w:trPr>
        <w:tc>
          <w:tcPr>
            <w:tcW w:w="1880" w:type="dxa"/>
            <w:tcBorders>
              <w:top w:val="single" w:sz="4" w:space="0" w:color="FFFFFF"/>
              <w:left w:val="single" w:sz="4" w:space="0" w:color="FFFFFF"/>
              <w:bottom w:val="nil"/>
              <w:right w:val="single" w:sz="4" w:space="0" w:color="FFFFFF"/>
            </w:tcBorders>
            <w:shd w:val="clear" w:color="auto" w:fill="auto"/>
            <w:vAlign w:val="center"/>
            <w:hideMark/>
          </w:tcPr>
          <w:p w:rsidR="00643B9F" w:rsidRPr="00643B9F" w:rsidRDefault="00643B9F" w:rsidP="00643B9F">
            <w:pPr>
              <w:spacing w:after="0" w:line="240" w:lineRule="auto"/>
              <w:jc w:val="left"/>
              <w:rPr>
                <w:rFonts w:eastAsia="Times New Roman" w:cs="Times New Roman"/>
                <w:color w:val="000000"/>
                <w:szCs w:val="24"/>
              </w:rPr>
            </w:pPr>
            <w:r w:rsidRPr="00643B9F">
              <w:rPr>
                <w:rFonts w:eastAsia="Times New Roman" w:cs="Times New Roman"/>
                <w:color w:val="000000"/>
                <w:szCs w:val="24"/>
              </w:rPr>
              <w:t> </w:t>
            </w:r>
          </w:p>
        </w:tc>
        <w:tc>
          <w:tcPr>
            <w:tcW w:w="1580" w:type="dxa"/>
            <w:tcBorders>
              <w:top w:val="nil"/>
              <w:left w:val="nil"/>
              <w:bottom w:val="single" w:sz="4" w:space="0" w:color="FFFFFF"/>
              <w:right w:val="single" w:sz="4" w:space="0" w:color="FFFFFF"/>
            </w:tcBorders>
            <w:shd w:val="clear" w:color="000000" w:fill="95B3D7"/>
            <w:vAlign w:val="center"/>
            <w:hideMark/>
          </w:tcPr>
          <w:p w:rsidR="00643B9F" w:rsidRPr="00643B9F" w:rsidRDefault="00643B9F" w:rsidP="00643B9F">
            <w:pPr>
              <w:spacing w:after="0" w:line="240" w:lineRule="auto"/>
              <w:jc w:val="center"/>
              <w:rPr>
                <w:rFonts w:eastAsia="Times New Roman" w:cs="Times New Roman"/>
                <w:b/>
                <w:bCs/>
                <w:color w:val="FFFFFF"/>
                <w:szCs w:val="24"/>
              </w:rPr>
            </w:pPr>
            <w:r w:rsidRPr="00643B9F">
              <w:rPr>
                <w:rFonts w:eastAsia="Times New Roman" w:cs="Times New Roman"/>
                <w:b/>
                <w:bCs/>
                <w:color w:val="FFFFFF"/>
                <w:szCs w:val="24"/>
              </w:rPr>
              <w:t> </w:t>
            </w:r>
          </w:p>
        </w:tc>
        <w:tc>
          <w:tcPr>
            <w:tcW w:w="5680" w:type="dxa"/>
            <w:gridSpan w:val="4"/>
            <w:tcBorders>
              <w:top w:val="single" w:sz="4" w:space="0" w:color="FFFFFF"/>
              <w:left w:val="nil"/>
              <w:bottom w:val="single" w:sz="4" w:space="0" w:color="FFFFFF"/>
              <w:right w:val="single" w:sz="4" w:space="0" w:color="FFFFFF"/>
            </w:tcBorders>
            <w:shd w:val="clear" w:color="000000" w:fill="95B3D7"/>
            <w:vAlign w:val="center"/>
            <w:hideMark/>
          </w:tcPr>
          <w:p w:rsidR="00643B9F" w:rsidRPr="00643B9F" w:rsidRDefault="00643B9F" w:rsidP="00643B9F">
            <w:pPr>
              <w:spacing w:after="0" w:line="240" w:lineRule="auto"/>
              <w:jc w:val="center"/>
              <w:rPr>
                <w:rFonts w:eastAsia="Times New Roman" w:cs="Times New Roman"/>
                <w:b/>
                <w:bCs/>
                <w:color w:val="FFFFFF"/>
                <w:szCs w:val="24"/>
              </w:rPr>
            </w:pPr>
            <w:r w:rsidRPr="00643B9F">
              <w:rPr>
                <w:rFonts w:eastAsia="Times New Roman" w:cs="Times New Roman"/>
                <w:b/>
                <w:bCs/>
                <w:color w:val="FFFFFF"/>
                <w:szCs w:val="24"/>
              </w:rPr>
              <w:t>Çeyrek</w:t>
            </w:r>
          </w:p>
        </w:tc>
      </w:tr>
      <w:tr w:rsidR="00643B9F" w:rsidRPr="00643B9F" w:rsidTr="00643B9F">
        <w:trPr>
          <w:trHeight w:val="315"/>
        </w:trPr>
        <w:tc>
          <w:tcPr>
            <w:tcW w:w="1880" w:type="dxa"/>
            <w:tcBorders>
              <w:top w:val="single" w:sz="4" w:space="0" w:color="FFFFFF"/>
              <w:left w:val="single" w:sz="4" w:space="0" w:color="FFFFFF"/>
              <w:bottom w:val="single" w:sz="4" w:space="0" w:color="FFFFFF"/>
              <w:right w:val="single" w:sz="4" w:space="0" w:color="FFFFFF"/>
            </w:tcBorders>
            <w:shd w:val="clear" w:color="auto" w:fill="auto"/>
            <w:vAlign w:val="center"/>
            <w:hideMark/>
          </w:tcPr>
          <w:p w:rsidR="00643B9F" w:rsidRPr="00643B9F" w:rsidRDefault="00643B9F" w:rsidP="00643B9F">
            <w:pPr>
              <w:spacing w:after="0" w:line="240" w:lineRule="auto"/>
              <w:jc w:val="left"/>
              <w:rPr>
                <w:rFonts w:eastAsia="Times New Roman" w:cs="Times New Roman"/>
                <w:color w:val="000000"/>
                <w:szCs w:val="24"/>
              </w:rPr>
            </w:pPr>
            <w:r w:rsidRPr="00643B9F">
              <w:rPr>
                <w:rFonts w:eastAsia="Times New Roman" w:cs="Times New Roman"/>
                <w:color w:val="000000"/>
                <w:szCs w:val="24"/>
              </w:rPr>
              <w:t> </w:t>
            </w:r>
          </w:p>
        </w:tc>
        <w:tc>
          <w:tcPr>
            <w:tcW w:w="1580" w:type="dxa"/>
            <w:tcBorders>
              <w:top w:val="nil"/>
              <w:left w:val="nil"/>
              <w:bottom w:val="nil"/>
              <w:right w:val="single" w:sz="4" w:space="0" w:color="FFFFFF"/>
            </w:tcBorders>
            <w:shd w:val="clear" w:color="000000" w:fill="DCE6F1"/>
            <w:vAlign w:val="center"/>
            <w:hideMark/>
          </w:tcPr>
          <w:p w:rsidR="00643B9F" w:rsidRPr="00643B9F" w:rsidRDefault="00643B9F" w:rsidP="00643B9F">
            <w:pPr>
              <w:spacing w:after="0" w:line="240" w:lineRule="auto"/>
              <w:jc w:val="center"/>
              <w:rPr>
                <w:rFonts w:eastAsia="Times New Roman" w:cs="Times New Roman"/>
                <w:b/>
                <w:bCs/>
                <w:color w:val="FFFFFF"/>
                <w:szCs w:val="24"/>
              </w:rPr>
            </w:pPr>
            <w:r w:rsidRPr="00643B9F">
              <w:rPr>
                <w:rFonts w:eastAsia="Times New Roman" w:cs="Times New Roman"/>
                <w:b/>
                <w:bCs/>
                <w:color w:val="FFFFFF"/>
                <w:szCs w:val="24"/>
              </w:rPr>
              <w:t>Yıllık</w:t>
            </w:r>
          </w:p>
        </w:tc>
        <w:tc>
          <w:tcPr>
            <w:tcW w:w="1420" w:type="dxa"/>
            <w:tcBorders>
              <w:top w:val="nil"/>
              <w:left w:val="nil"/>
              <w:bottom w:val="nil"/>
              <w:right w:val="single" w:sz="4" w:space="0" w:color="FFFFFF"/>
            </w:tcBorders>
            <w:shd w:val="clear" w:color="000000" w:fill="DCE6F1"/>
            <w:vAlign w:val="center"/>
            <w:hideMark/>
          </w:tcPr>
          <w:p w:rsidR="00643B9F" w:rsidRPr="00643B9F" w:rsidRDefault="00643B9F" w:rsidP="00643B9F">
            <w:pPr>
              <w:spacing w:after="0" w:line="240" w:lineRule="auto"/>
              <w:jc w:val="center"/>
              <w:rPr>
                <w:rFonts w:eastAsia="Times New Roman" w:cs="Times New Roman"/>
                <w:b/>
                <w:bCs/>
                <w:color w:val="FFFFFF"/>
                <w:szCs w:val="24"/>
              </w:rPr>
            </w:pPr>
            <w:r w:rsidRPr="00643B9F">
              <w:rPr>
                <w:rFonts w:eastAsia="Times New Roman" w:cs="Times New Roman"/>
                <w:b/>
                <w:bCs/>
                <w:color w:val="FFFFFF"/>
                <w:szCs w:val="24"/>
              </w:rPr>
              <w:t>I</w:t>
            </w:r>
          </w:p>
        </w:tc>
        <w:tc>
          <w:tcPr>
            <w:tcW w:w="1420" w:type="dxa"/>
            <w:tcBorders>
              <w:top w:val="nil"/>
              <w:left w:val="nil"/>
              <w:bottom w:val="nil"/>
              <w:right w:val="single" w:sz="4" w:space="0" w:color="FFFFFF"/>
            </w:tcBorders>
            <w:shd w:val="clear" w:color="000000" w:fill="DCE6F1"/>
            <w:vAlign w:val="center"/>
            <w:hideMark/>
          </w:tcPr>
          <w:p w:rsidR="00643B9F" w:rsidRPr="00643B9F" w:rsidRDefault="00643B9F" w:rsidP="00643B9F">
            <w:pPr>
              <w:spacing w:after="0" w:line="240" w:lineRule="auto"/>
              <w:jc w:val="center"/>
              <w:rPr>
                <w:rFonts w:eastAsia="Times New Roman" w:cs="Times New Roman"/>
                <w:b/>
                <w:bCs/>
                <w:color w:val="FFFFFF"/>
                <w:szCs w:val="24"/>
              </w:rPr>
            </w:pPr>
            <w:r w:rsidRPr="00643B9F">
              <w:rPr>
                <w:rFonts w:eastAsia="Times New Roman" w:cs="Times New Roman"/>
                <w:b/>
                <w:bCs/>
                <w:color w:val="FFFFFF"/>
                <w:szCs w:val="24"/>
              </w:rPr>
              <w:t>II</w:t>
            </w:r>
          </w:p>
        </w:tc>
        <w:tc>
          <w:tcPr>
            <w:tcW w:w="1420" w:type="dxa"/>
            <w:tcBorders>
              <w:top w:val="nil"/>
              <w:left w:val="nil"/>
              <w:bottom w:val="nil"/>
              <w:right w:val="single" w:sz="4" w:space="0" w:color="FFFFFF"/>
            </w:tcBorders>
            <w:shd w:val="clear" w:color="000000" w:fill="DCE6F1"/>
            <w:vAlign w:val="center"/>
            <w:hideMark/>
          </w:tcPr>
          <w:p w:rsidR="00643B9F" w:rsidRPr="00643B9F" w:rsidRDefault="00643B9F" w:rsidP="00643B9F">
            <w:pPr>
              <w:spacing w:after="0" w:line="240" w:lineRule="auto"/>
              <w:jc w:val="center"/>
              <w:rPr>
                <w:rFonts w:eastAsia="Times New Roman" w:cs="Times New Roman"/>
                <w:b/>
                <w:bCs/>
                <w:color w:val="FFFFFF"/>
                <w:szCs w:val="24"/>
              </w:rPr>
            </w:pPr>
            <w:r w:rsidRPr="00643B9F">
              <w:rPr>
                <w:rFonts w:eastAsia="Times New Roman" w:cs="Times New Roman"/>
                <w:b/>
                <w:bCs/>
                <w:color w:val="FFFFFF"/>
                <w:szCs w:val="24"/>
              </w:rPr>
              <w:t>III</w:t>
            </w:r>
          </w:p>
        </w:tc>
        <w:tc>
          <w:tcPr>
            <w:tcW w:w="1420" w:type="dxa"/>
            <w:tcBorders>
              <w:top w:val="nil"/>
              <w:left w:val="nil"/>
              <w:bottom w:val="nil"/>
              <w:right w:val="single" w:sz="4" w:space="0" w:color="FFFFFF"/>
            </w:tcBorders>
            <w:shd w:val="clear" w:color="000000" w:fill="DCE6F1"/>
            <w:vAlign w:val="center"/>
            <w:hideMark/>
          </w:tcPr>
          <w:p w:rsidR="00643B9F" w:rsidRPr="00643B9F" w:rsidRDefault="00643B9F" w:rsidP="00643B9F">
            <w:pPr>
              <w:spacing w:after="0" w:line="240" w:lineRule="auto"/>
              <w:jc w:val="center"/>
              <w:rPr>
                <w:rFonts w:eastAsia="Times New Roman" w:cs="Times New Roman"/>
                <w:b/>
                <w:bCs/>
                <w:color w:val="FFFFFF"/>
                <w:szCs w:val="24"/>
              </w:rPr>
            </w:pPr>
            <w:r w:rsidRPr="00643B9F">
              <w:rPr>
                <w:rFonts w:eastAsia="Times New Roman" w:cs="Times New Roman"/>
                <w:b/>
                <w:bCs/>
                <w:color w:val="FFFFFF"/>
                <w:szCs w:val="24"/>
              </w:rPr>
              <w:t>IV</w:t>
            </w:r>
          </w:p>
        </w:tc>
      </w:tr>
      <w:tr w:rsidR="00643B9F" w:rsidRPr="00643B9F" w:rsidTr="00643B9F">
        <w:trPr>
          <w:trHeight w:val="315"/>
        </w:trPr>
        <w:tc>
          <w:tcPr>
            <w:tcW w:w="1880" w:type="dxa"/>
            <w:tcBorders>
              <w:top w:val="nil"/>
              <w:left w:val="single" w:sz="4" w:space="0" w:color="FFFFFF"/>
              <w:bottom w:val="single" w:sz="4" w:space="0" w:color="FFFFFF"/>
              <w:right w:val="single" w:sz="4" w:space="0" w:color="FFFFFF"/>
            </w:tcBorders>
            <w:shd w:val="clear" w:color="000000" w:fill="1F497D"/>
            <w:noWrap/>
            <w:vAlign w:val="bottom"/>
            <w:hideMark/>
          </w:tcPr>
          <w:p w:rsidR="00643B9F" w:rsidRPr="00643B9F" w:rsidRDefault="00643B9F" w:rsidP="00643B9F">
            <w:pPr>
              <w:spacing w:after="0" w:line="240" w:lineRule="auto"/>
              <w:jc w:val="left"/>
              <w:rPr>
                <w:rFonts w:eastAsia="Times New Roman" w:cs="Times New Roman"/>
                <w:b/>
                <w:bCs/>
                <w:color w:val="FFFFFF"/>
                <w:szCs w:val="24"/>
              </w:rPr>
            </w:pPr>
            <w:r w:rsidRPr="00643B9F">
              <w:rPr>
                <w:rFonts w:eastAsia="Times New Roman" w:cs="Times New Roman"/>
                <w:b/>
                <w:bCs/>
                <w:color w:val="FFFFFF"/>
                <w:szCs w:val="24"/>
              </w:rPr>
              <w:t>Tarım</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B9F" w:rsidRPr="00643B9F" w:rsidRDefault="00643B9F" w:rsidP="00643B9F">
            <w:pPr>
              <w:spacing w:after="0" w:line="240" w:lineRule="auto"/>
              <w:jc w:val="center"/>
              <w:rPr>
                <w:rFonts w:eastAsia="Times New Roman" w:cs="Times New Roman"/>
                <w:color w:val="000000"/>
                <w:szCs w:val="24"/>
              </w:rPr>
            </w:pPr>
            <w:r w:rsidRPr="00643B9F">
              <w:rPr>
                <w:rFonts w:eastAsia="Times New Roman" w:cs="Times New Roman"/>
                <w:color w:val="000000"/>
                <w:szCs w:val="24"/>
              </w:rPr>
              <w:t>6,4%</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643B9F" w:rsidRPr="00643B9F" w:rsidRDefault="00643B9F" w:rsidP="00643B9F">
            <w:pPr>
              <w:spacing w:after="0" w:line="240" w:lineRule="auto"/>
              <w:jc w:val="center"/>
              <w:rPr>
                <w:rFonts w:eastAsia="Times New Roman" w:cs="Times New Roman"/>
                <w:color w:val="000000"/>
                <w:szCs w:val="24"/>
              </w:rPr>
            </w:pPr>
            <w:r w:rsidRPr="00643B9F">
              <w:rPr>
                <w:rFonts w:eastAsia="Times New Roman" w:cs="Times New Roman"/>
                <w:color w:val="000000"/>
                <w:szCs w:val="24"/>
              </w:rPr>
              <w:t>3,1%</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643B9F" w:rsidRPr="00643B9F" w:rsidRDefault="00643B9F" w:rsidP="00643B9F">
            <w:pPr>
              <w:spacing w:after="0" w:line="240" w:lineRule="auto"/>
              <w:jc w:val="center"/>
              <w:rPr>
                <w:rFonts w:eastAsia="Times New Roman" w:cs="Times New Roman"/>
                <w:color w:val="000000"/>
                <w:szCs w:val="24"/>
              </w:rPr>
            </w:pPr>
            <w:r w:rsidRPr="00643B9F">
              <w:rPr>
                <w:rFonts w:eastAsia="Times New Roman" w:cs="Times New Roman"/>
                <w:color w:val="000000"/>
                <w:szCs w:val="24"/>
              </w:rPr>
              <w:t>5,0%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643B9F" w:rsidRPr="00643B9F" w:rsidRDefault="00643B9F" w:rsidP="00643B9F">
            <w:pPr>
              <w:spacing w:after="0" w:line="240" w:lineRule="auto"/>
              <w:jc w:val="center"/>
              <w:rPr>
                <w:rFonts w:eastAsia="Times New Roman" w:cs="Times New Roman"/>
                <w:color w:val="000000"/>
                <w:szCs w:val="24"/>
              </w:rPr>
            </w:pPr>
            <w:r w:rsidRPr="00643B9F">
              <w:rPr>
                <w:rFonts w:eastAsia="Times New Roman" w:cs="Times New Roman"/>
                <w:color w:val="000000"/>
                <w:szCs w:val="24"/>
              </w:rPr>
              <w:t>-</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643B9F" w:rsidRPr="00643B9F" w:rsidRDefault="00643B9F" w:rsidP="00643B9F">
            <w:pPr>
              <w:spacing w:after="0" w:line="240" w:lineRule="auto"/>
              <w:jc w:val="center"/>
              <w:rPr>
                <w:rFonts w:eastAsia="Times New Roman" w:cs="Times New Roman"/>
                <w:color w:val="000000"/>
                <w:szCs w:val="24"/>
              </w:rPr>
            </w:pPr>
            <w:r w:rsidRPr="00643B9F">
              <w:rPr>
                <w:rFonts w:eastAsia="Times New Roman" w:cs="Times New Roman"/>
                <w:color w:val="000000"/>
                <w:szCs w:val="24"/>
              </w:rPr>
              <w:t>-</w:t>
            </w:r>
          </w:p>
        </w:tc>
      </w:tr>
      <w:tr w:rsidR="00643B9F" w:rsidRPr="00643B9F" w:rsidTr="00643B9F">
        <w:trPr>
          <w:trHeight w:val="315"/>
        </w:trPr>
        <w:tc>
          <w:tcPr>
            <w:tcW w:w="1880" w:type="dxa"/>
            <w:tcBorders>
              <w:top w:val="nil"/>
              <w:left w:val="single" w:sz="4" w:space="0" w:color="FFFFFF"/>
              <w:bottom w:val="single" w:sz="4" w:space="0" w:color="FFFFFF"/>
              <w:right w:val="single" w:sz="4" w:space="0" w:color="FFFFFF"/>
            </w:tcBorders>
            <w:shd w:val="clear" w:color="000000" w:fill="1F497D"/>
            <w:noWrap/>
            <w:vAlign w:val="bottom"/>
            <w:hideMark/>
          </w:tcPr>
          <w:p w:rsidR="00643B9F" w:rsidRPr="00643B9F" w:rsidRDefault="00643B9F" w:rsidP="00643B9F">
            <w:pPr>
              <w:spacing w:after="0" w:line="240" w:lineRule="auto"/>
              <w:jc w:val="left"/>
              <w:rPr>
                <w:rFonts w:eastAsia="Times New Roman" w:cs="Times New Roman"/>
                <w:b/>
                <w:bCs/>
                <w:color w:val="FFFFFF"/>
                <w:szCs w:val="24"/>
              </w:rPr>
            </w:pPr>
            <w:r w:rsidRPr="00643B9F">
              <w:rPr>
                <w:rFonts w:eastAsia="Times New Roman" w:cs="Times New Roman"/>
                <w:b/>
                <w:bCs/>
                <w:color w:val="FFFFFF"/>
                <w:szCs w:val="24"/>
              </w:rPr>
              <w:t xml:space="preserve">Sanayi </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643B9F" w:rsidRPr="00643B9F" w:rsidRDefault="00643B9F" w:rsidP="00643B9F">
            <w:pPr>
              <w:spacing w:after="0" w:line="240" w:lineRule="auto"/>
              <w:jc w:val="center"/>
              <w:rPr>
                <w:rFonts w:eastAsia="Times New Roman" w:cs="Times New Roman"/>
                <w:color w:val="000000"/>
                <w:szCs w:val="24"/>
              </w:rPr>
            </w:pPr>
            <w:r w:rsidRPr="00643B9F">
              <w:rPr>
                <w:rFonts w:eastAsia="Times New Roman" w:cs="Times New Roman"/>
                <w:color w:val="000000"/>
                <w:szCs w:val="24"/>
              </w:rPr>
              <w:t>32,9%</w:t>
            </w:r>
          </w:p>
        </w:tc>
        <w:tc>
          <w:tcPr>
            <w:tcW w:w="1420" w:type="dxa"/>
            <w:tcBorders>
              <w:top w:val="nil"/>
              <w:left w:val="nil"/>
              <w:bottom w:val="single" w:sz="4" w:space="0" w:color="auto"/>
              <w:right w:val="single" w:sz="4" w:space="0" w:color="auto"/>
            </w:tcBorders>
            <w:shd w:val="clear" w:color="auto" w:fill="auto"/>
            <w:vAlign w:val="center"/>
            <w:hideMark/>
          </w:tcPr>
          <w:p w:rsidR="00643B9F" w:rsidRPr="00643B9F" w:rsidRDefault="00643B9F" w:rsidP="00643B9F">
            <w:pPr>
              <w:spacing w:after="0" w:line="240" w:lineRule="auto"/>
              <w:jc w:val="center"/>
              <w:rPr>
                <w:rFonts w:eastAsia="Times New Roman" w:cs="Times New Roman"/>
                <w:color w:val="000000"/>
                <w:szCs w:val="24"/>
              </w:rPr>
            </w:pPr>
            <w:r w:rsidRPr="00643B9F">
              <w:rPr>
                <w:rFonts w:eastAsia="Times New Roman" w:cs="Times New Roman"/>
                <w:color w:val="000000"/>
                <w:szCs w:val="24"/>
              </w:rPr>
              <w:t>32,7%</w:t>
            </w:r>
          </w:p>
        </w:tc>
        <w:tc>
          <w:tcPr>
            <w:tcW w:w="1420" w:type="dxa"/>
            <w:tcBorders>
              <w:top w:val="nil"/>
              <w:left w:val="nil"/>
              <w:bottom w:val="single" w:sz="4" w:space="0" w:color="auto"/>
              <w:right w:val="single" w:sz="4" w:space="0" w:color="auto"/>
            </w:tcBorders>
            <w:shd w:val="clear" w:color="auto" w:fill="auto"/>
            <w:vAlign w:val="center"/>
            <w:hideMark/>
          </w:tcPr>
          <w:p w:rsidR="00643B9F" w:rsidRPr="00643B9F" w:rsidRDefault="00643B9F" w:rsidP="00643B9F">
            <w:pPr>
              <w:spacing w:after="0" w:line="240" w:lineRule="auto"/>
              <w:jc w:val="center"/>
              <w:rPr>
                <w:rFonts w:eastAsia="Times New Roman" w:cs="Times New Roman"/>
                <w:color w:val="000000"/>
                <w:szCs w:val="24"/>
              </w:rPr>
            </w:pPr>
            <w:r w:rsidRPr="00643B9F">
              <w:rPr>
                <w:rFonts w:eastAsia="Times New Roman" w:cs="Times New Roman"/>
                <w:color w:val="000000"/>
                <w:szCs w:val="24"/>
              </w:rPr>
              <w:t>31,9%</w:t>
            </w:r>
          </w:p>
        </w:tc>
        <w:tc>
          <w:tcPr>
            <w:tcW w:w="1420" w:type="dxa"/>
            <w:tcBorders>
              <w:top w:val="nil"/>
              <w:left w:val="nil"/>
              <w:bottom w:val="single" w:sz="4" w:space="0" w:color="auto"/>
              <w:right w:val="single" w:sz="4" w:space="0" w:color="auto"/>
            </w:tcBorders>
            <w:shd w:val="clear" w:color="auto" w:fill="auto"/>
            <w:vAlign w:val="center"/>
            <w:hideMark/>
          </w:tcPr>
          <w:p w:rsidR="00643B9F" w:rsidRPr="00643B9F" w:rsidRDefault="00643B9F" w:rsidP="00643B9F">
            <w:pPr>
              <w:spacing w:after="0" w:line="240" w:lineRule="auto"/>
              <w:jc w:val="center"/>
              <w:rPr>
                <w:rFonts w:eastAsia="Times New Roman" w:cs="Times New Roman"/>
                <w:color w:val="000000"/>
                <w:szCs w:val="24"/>
              </w:rPr>
            </w:pPr>
            <w:r w:rsidRPr="00643B9F">
              <w:rPr>
                <w:rFonts w:eastAsia="Times New Roman" w:cs="Times New Roman"/>
                <w:color w:val="000000"/>
                <w:szCs w:val="24"/>
              </w:rPr>
              <w:t>-</w:t>
            </w:r>
          </w:p>
        </w:tc>
        <w:tc>
          <w:tcPr>
            <w:tcW w:w="1420" w:type="dxa"/>
            <w:tcBorders>
              <w:top w:val="nil"/>
              <w:left w:val="nil"/>
              <w:bottom w:val="single" w:sz="4" w:space="0" w:color="auto"/>
              <w:right w:val="single" w:sz="4" w:space="0" w:color="auto"/>
            </w:tcBorders>
            <w:shd w:val="clear" w:color="auto" w:fill="auto"/>
            <w:vAlign w:val="center"/>
            <w:hideMark/>
          </w:tcPr>
          <w:p w:rsidR="00643B9F" w:rsidRPr="00643B9F" w:rsidRDefault="00643B9F" w:rsidP="00643B9F">
            <w:pPr>
              <w:spacing w:after="0" w:line="240" w:lineRule="auto"/>
              <w:jc w:val="center"/>
              <w:rPr>
                <w:rFonts w:eastAsia="Times New Roman" w:cs="Times New Roman"/>
                <w:color w:val="000000"/>
                <w:szCs w:val="24"/>
              </w:rPr>
            </w:pPr>
            <w:r w:rsidRPr="00643B9F">
              <w:rPr>
                <w:rFonts w:eastAsia="Times New Roman" w:cs="Times New Roman"/>
                <w:color w:val="000000"/>
                <w:szCs w:val="24"/>
              </w:rPr>
              <w:t>-</w:t>
            </w:r>
          </w:p>
        </w:tc>
      </w:tr>
      <w:tr w:rsidR="00643B9F" w:rsidRPr="00643B9F" w:rsidTr="00643B9F">
        <w:trPr>
          <w:trHeight w:val="315"/>
        </w:trPr>
        <w:tc>
          <w:tcPr>
            <w:tcW w:w="1880" w:type="dxa"/>
            <w:tcBorders>
              <w:top w:val="nil"/>
              <w:left w:val="single" w:sz="4" w:space="0" w:color="FFFFFF"/>
              <w:bottom w:val="single" w:sz="4" w:space="0" w:color="FFFFFF"/>
              <w:right w:val="single" w:sz="4" w:space="0" w:color="FFFFFF"/>
            </w:tcBorders>
            <w:shd w:val="clear" w:color="000000" w:fill="1F497D"/>
            <w:noWrap/>
            <w:vAlign w:val="bottom"/>
            <w:hideMark/>
          </w:tcPr>
          <w:p w:rsidR="00643B9F" w:rsidRPr="00643B9F" w:rsidRDefault="00643B9F" w:rsidP="00643B9F">
            <w:pPr>
              <w:spacing w:after="0" w:line="240" w:lineRule="auto"/>
              <w:jc w:val="left"/>
              <w:rPr>
                <w:rFonts w:eastAsia="Times New Roman" w:cs="Times New Roman"/>
                <w:b/>
                <w:bCs/>
                <w:color w:val="FFFFFF"/>
                <w:szCs w:val="24"/>
              </w:rPr>
            </w:pPr>
            <w:r w:rsidRPr="00643B9F">
              <w:rPr>
                <w:rFonts w:eastAsia="Times New Roman" w:cs="Times New Roman"/>
                <w:b/>
                <w:bCs/>
                <w:color w:val="FFFFFF"/>
                <w:szCs w:val="24"/>
              </w:rPr>
              <w:t xml:space="preserve">Hizmetler </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643B9F" w:rsidRPr="00643B9F" w:rsidRDefault="00643B9F" w:rsidP="00643B9F">
            <w:pPr>
              <w:spacing w:after="0" w:line="240" w:lineRule="auto"/>
              <w:jc w:val="center"/>
              <w:rPr>
                <w:rFonts w:eastAsia="Times New Roman" w:cs="Times New Roman"/>
                <w:color w:val="000000"/>
                <w:szCs w:val="24"/>
              </w:rPr>
            </w:pPr>
            <w:r w:rsidRPr="00643B9F">
              <w:rPr>
                <w:rFonts w:eastAsia="Times New Roman" w:cs="Times New Roman"/>
                <w:color w:val="000000"/>
                <w:szCs w:val="24"/>
              </w:rPr>
              <w:t>60,7%</w:t>
            </w:r>
          </w:p>
        </w:tc>
        <w:tc>
          <w:tcPr>
            <w:tcW w:w="1420" w:type="dxa"/>
            <w:tcBorders>
              <w:top w:val="nil"/>
              <w:left w:val="nil"/>
              <w:bottom w:val="single" w:sz="4" w:space="0" w:color="auto"/>
              <w:right w:val="single" w:sz="4" w:space="0" w:color="auto"/>
            </w:tcBorders>
            <w:shd w:val="clear" w:color="auto" w:fill="auto"/>
            <w:vAlign w:val="center"/>
            <w:hideMark/>
          </w:tcPr>
          <w:p w:rsidR="00643B9F" w:rsidRPr="00643B9F" w:rsidRDefault="00643B9F" w:rsidP="00643B9F">
            <w:pPr>
              <w:spacing w:after="0" w:line="240" w:lineRule="auto"/>
              <w:jc w:val="center"/>
              <w:rPr>
                <w:rFonts w:eastAsia="Times New Roman" w:cs="Times New Roman"/>
                <w:color w:val="000000"/>
                <w:szCs w:val="24"/>
              </w:rPr>
            </w:pPr>
            <w:r w:rsidRPr="00643B9F">
              <w:rPr>
                <w:rFonts w:eastAsia="Times New Roman" w:cs="Times New Roman"/>
                <w:color w:val="000000"/>
                <w:szCs w:val="24"/>
              </w:rPr>
              <w:t>64,1%</w:t>
            </w:r>
          </w:p>
        </w:tc>
        <w:tc>
          <w:tcPr>
            <w:tcW w:w="1420" w:type="dxa"/>
            <w:tcBorders>
              <w:top w:val="nil"/>
              <w:left w:val="nil"/>
              <w:bottom w:val="single" w:sz="4" w:space="0" w:color="auto"/>
              <w:right w:val="single" w:sz="4" w:space="0" w:color="auto"/>
            </w:tcBorders>
            <w:shd w:val="clear" w:color="auto" w:fill="auto"/>
            <w:vAlign w:val="center"/>
            <w:hideMark/>
          </w:tcPr>
          <w:p w:rsidR="00643B9F" w:rsidRPr="00643B9F" w:rsidRDefault="00643B9F" w:rsidP="00643B9F">
            <w:pPr>
              <w:spacing w:after="0" w:line="240" w:lineRule="auto"/>
              <w:jc w:val="center"/>
              <w:rPr>
                <w:rFonts w:eastAsia="Times New Roman" w:cs="Times New Roman"/>
                <w:color w:val="000000"/>
                <w:szCs w:val="24"/>
              </w:rPr>
            </w:pPr>
            <w:r w:rsidRPr="00643B9F">
              <w:rPr>
                <w:rFonts w:eastAsia="Times New Roman" w:cs="Times New Roman"/>
                <w:color w:val="000000"/>
                <w:szCs w:val="24"/>
              </w:rPr>
              <w:t>63,1%</w:t>
            </w:r>
          </w:p>
        </w:tc>
        <w:tc>
          <w:tcPr>
            <w:tcW w:w="1420" w:type="dxa"/>
            <w:tcBorders>
              <w:top w:val="nil"/>
              <w:left w:val="nil"/>
              <w:bottom w:val="single" w:sz="4" w:space="0" w:color="auto"/>
              <w:right w:val="single" w:sz="4" w:space="0" w:color="auto"/>
            </w:tcBorders>
            <w:shd w:val="clear" w:color="auto" w:fill="auto"/>
            <w:vAlign w:val="center"/>
            <w:hideMark/>
          </w:tcPr>
          <w:p w:rsidR="00643B9F" w:rsidRPr="00643B9F" w:rsidRDefault="00643B9F" w:rsidP="00643B9F">
            <w:pPr>
              <w:spacing w:after="0" w:line="240" w:lineRule="auto"/>
              <w:jc w:val="center"/>
              <w:rPr>
                <w:rFonts w:eastAsia="Times New Roman" w:cs="Times New Roman"/>
                <w:color w:val="000000"/>
                <w:szCs w:val="24"/>
              </w:rPr>
            </w:pPr>
            <w:r w:rsidRPr="00643B9F">
              <w:rPr>
                <w:rFonts w:eastAsia="Times New Roman" w:cs="Times New Roman"/>
                <w:color w:val="000000"/>
                <w:szCs w:val="24"/>
              </w:rPr>
              <w:t>-</w:t>
            </w:r>
          </w:p>
        </w:tc>
        <w:tc>
          <w:tcPr>
            <w:tcW w:w="1420" w:type="dxa"/>
            <w:tcBorders>
              <w:top w:val="nil"/>
              <w:left w:val="nil"/>
              <w:bottom w:val="single" w:sz="4" w:space="0" w:color="auto"/>
              <w:right w:val="single" w:sz="4" w:space="0" w:color="auto"/>
            </w:tcBorders>
            <w:shd w:val="clear" w:color="auto" w:fill="auto"/>
            <w:vAlign w:val="center"/>
            <w:hideMark/>
          </w:tcPr>
          <w:p w:rsidR="00643B9F" w:rsidRPr="00643B9F" w:rsidRDefault="00643B9F" w:rsidP="00643B9F">
            <w:pPr>
              <w:spacing w:after="0" w:line="240" w:lineRule="auto"/>
              <w:jc w:val="center"/>
              <w:rPr>
                <w:rFonts w:eastAsia="Times New Roman" w:cs="Times New Roman"/>
                <w:color w:val="000000"/>
                <w:szCs w:val="24"/>
              </w:rPr>
            </w:pPr>
            <w:r w:rsidRPr="00643B9F">
              <w:rPr>
                <w:rFonts w:eastAsia="Times New Roman" w:cs="Times New Roman"/>
                <w:color w:val="000000"/>
                <w:szCs w:val="24"/>
              </w:rPr>
              <w:t>-</w:t>
            </w:r>
          </w:p>
        </w:tc>
      </w:tr>
    </w:tbl>
    <w:p w:rsidR="00294167" w:rsidRDefault="00294167" w:rsidP="00817B43">
      <w:pPr>
        <w:rPr>
          <w:szCs w:val="24"/>
        </w:rPr>
      </w:pPr>
    </w:p>
    <w:p w:rsidR="00C7367E" w:rsidRDefault="006558B0" w:rsidP="00C62C37">
      <w:pPr>
        <w:rPr>
          <w:szCs w:val="24"/>
        </w:rPr>
      </w:pPr>
      <w:r>
        <w:rPr>
          <w:szCs w:val="24"/>
        </w:rPr>
        <w:t xml:space="preserve">Diğer bir yandan ülkelerin büyüme oranları uluslararası düzeyde incelendiğinde, Türkiye, </w:t>
      </w:r>
      <w:r w:rsidR="001D3A48">
        <w:rPr>
          <w:szCs w:val="24"/>
        </w:rPr>
        <w:t xml:space="preserve">2017 yılında </w:t>
      </w:r>
      <w:r>
        <w:rPr>
          <w:szCs w:val="24"/>
        </w:rPr>
        <w:t xml:space="preserve">yüzde 7,4’lük bir </w:t>
      </w:r>
      <w:r w:rsidR="00030D4B" w:rsidRPr="00030D4B">
        <w:rPr>
          <w:szCs w:val="24"/>
        </w:rPr>
        <w:t>GSYH büyümesi</w:t>
      </w:r>
      <w:r>
        <w:rPr>
          <w:szCs w:val="24"/>
        </w:rPr>
        <w:t xml:space="preserve"> </w:t>
      </w:r>
      <w:r w:rsidR="00D04558">
        <w:rPr>
          <w:szCs w:val="24"/>
        </w:rPr>
        <w:t xml:space="preserve">ile </w:t>
      </w:r>
      <w:r>
        <w:rPr>
          <w:szCs w:val="24"/>
        </w:rPr>
        <w:t xml:space="preserve">dünya genelinde </w:t>
      </w:r>
      <w:r w:rsidR="00D04558">
        <w:rPr>
          <w:szCs w:val="24"/>
        </w:rPr>
        <w:t xml:space="preserve">en </w:t>
      </w:r>
      <w:r>
        <w:rPr>
          <w:szCs w:val="24"/>
        </w:rPr>
        <w:t>fazla</w:t>
      </w:r>
      <w:r w:rsidR="00D04558">
        <w:rPr>
          <w:szCs w:val="24"/>
        </w:rPr>
        <w:t xml:space="preserve"> büyüme</w:t>
      </w:r>
      <w:r w:rsidR="001D3A48">
        <w:rPr>
          <w:szCs w:val="24"/>
        </w:rPr>
        <w:t xml:space="preserve"> gösteren 12</w:t>
      </w:r>
      <w:r w:rsidR="00C813D3">
        <w:rPr>
          <w:szCs w:val="24"/>
        </w:rPr>
        <w:t>’nci</w:t>
      </w:r>
      <w:r w:rsidR="001D3A48">
        <w:rPr>
          <w:szCs w:val="24"/>
        </w:rPr>
        <w:t xml:space="preserve"> ülke </w:t>
      </w:r>
      <w:r w:rsidR="00251F44">
        <w:rPr>
          <w:szCs w:val="24"/>
        </w:rPr>
        <w:t>konumundayken 2018 yılı verileri</w:t>
      </w:r>
      <w:r w:rsidR="003411C1">
        <w:rPr>
          <w:szCs w:val="24"/>
        </w:rPr>
        <w:t>ne göre 2,6 büyüme oranı ile 118</w:t>
      </w:r>
      <w:r w:rsidR="00251F44">
        <w:rPr>
          <w:szCs w:val="24"/>
        </w:rPr>
        <w:t xml:space="preserve">. </w:t>
      </w:r>
      <w:r w:rsidR="001121D6">
        <w:rPr>
          <w:szCs w:val="24"/>
        </w:rPr>
        <w:t>sıraya</w:t>
      </w:r>
      <w:r w:rsidR="00251F44">
        <w:rPr>
          <w:szCs w:val="24"/>
        </w:rPr>
        <w:t xml:space="preserve"> gerilemiştir.</w:t>
      </w:r>
      <w:r>
        <w:rPr>
          <w:szCs w:val="24"/>
        </w:rPr>
        <w:t xml:space="preserve"> (Tablo </w:t>
      </w:r>
      <w:r w:rsidRPr="00592311">
        <w:rPr>
          <w:szCs w:val="24"/>
        </w:rPr>
        <w:t>5)</w:t>
      </w:r>
      <w:r w:rsidR="001D3A48" w:rsidRPr="00592311">
        <w:rPr>
          <w:szCs w:val="24"/>
        </w:rPr>
        <w:t xml:space="preserve">. </w:t>
      </w:r>
      <w:r w:rsidR="003411C1" w:rsidRPr="00592311">
        <w:rPr>
          <w:szCs w:val="24"/>
        </w:rPr>
        <w:t>Türkiye, sahip olduğu 766</w:t>
      </w:r>
      <w:r w:rsidR="00C813D3" w:rsidRPr="00592311">
        <w:rPr>
          <w:szCs w:val="24"/>
        </w:rPr>
        <w:t xml:space="preserve">,5 </w:t>
      </w:r>
      <w:r w:rsidR="00592311" w:rsidRPr="00592311">
        <w:rPr>
          <w:szCs w:val="24"/>
        </w:rPr>
        <w:t>milyar dolar GSYH ile dünyanın</w:t>
      </w:r>
      <w:r w:rsidR="003411C1" w:rsidRPr="00592311">
        <w:rPr>
          <w:szCs w:val="24"/>
        </w:rPr>
        <w:t xml:space="preserve"> 19</w:t>
      </w:r>
      <w:r w:rsidR="00C813D3" w:rsidRPr="00592311">
        <w:rPr>
          <w:szCs w:val="24"/>
        </w:rPr>
        <w:t>’nci büyük ekonomi</w:t>
      </w:r>
      <w:r w:rsidR="00592311" w:rsidRPr="00592311">
        <w:rPr>
          <w:szCs w:val="24"/>
        </w:rPr>
        <w:t>si olmasına karşın</w:t>
      </w:r>
      <w:r w:rsidR="00592311">
        <w:rPr>
          <w:szCs w:val="24"/>
        </w:rPr>
        <w:t xml:space="preserve"> dünya geneline göre</w:t>
      </w:r>
      <w:r w:rsidR="00C813D3" w:rsidRPr="00592311">
        <w:rPr>
          <w:szCs w:val="24"/>
        </w:rPr>
        <w:t xml:space="preserve"> görece </w:t>
      </w:r>
      <w:r w:rsidR="00592311" w:rsidRPr="00592311">
        <w:rPr>
          <w:szCs w:val="24"/>
        </w:rPr>
        <w:t>durağan</w:t>
      </w:r>
      <w:r w:rsidR="00C813D3" w:rsidRPr="00592311">
        <w:rPr>
          <w:szCs w:val="24"/>
        </w:rPr>
        <w:t xml:space="preserve"> </w:t>
      </w:r>
      <w:r w:rsidR="00592311" w:rsidRPr="00592311">
        <w:rPr>
          <w:szCs w:val="24"/>
        </w:rPr>
        <w:t xml:space="preserve">bir </w:t>
      </w:r>
      <w:r w:rsidR="00C813D3" w:rsidRPr="00592311">
        <w:rPr>
          <w:szCs w:val="24"/>
        </w:rPr>
        <w:t>büyüme</w:t>
      </w:r>
      <w:r w:rsidR="00592311" w:rsidRPr="00592311">
        <w:rPr>
          <w:szCs w:val="24"/>
        </w:rPr>
        <w:t xml:space="preserve"> performansı sergilemiştir</w:t>
      </w:r>
      <w:r w:rsidR="00C813D3" w:rsidRPr="00592311">
        <w:rPr>
          <w:szCs w:val="24"/>
        </w:rPr>
        <w:t>.</w:t>
      </w:r>
    </w:p>
    <w:p w:rsidR="00793755" w:rsidRDefault="00793755" w:rsidP="00A513CE">
      <w:pPr>
        <w:rPr>
          <w:rFonts w:cs="Times New Roman"/>
          <w:b/>
        </w:rPr>
      </w:pPr>
    </w:p>
    <w:p w:rsidR="00793755" w:rsidRDefault="00793755" w:rsidP="00A513CE">
      <w:pPr>
        <w:rPr>
          <w:rFonts w:cs="Times New Roman"/>
          <w:b/>
        </w:rPr>
      </w:pPr>
    </w:p>
    <w:p w:rsidR="00793755" w:rsidRDefault="00793755" w:rsidP="00A513CE">
      <w:pPr>
        <w:rPr>
          <w:rFonts w:cs="Times New Roman"/>
          <w:b/>
        </w:rPr>
      </w:pPr>
    </w:p>
    <w:p w:rsidR="00793755" w:rsidRDefault="00793755" w:rsidP="00A513CE">
      <w:pPr>
        <w:rPr>
          <w:rFonts w:cs="Times New Roman"/>
          <w:b/>
        </w:rPr>
      </w:pPr>
    </w:p>
    <w:p w:rsidR="00793755" w:rsidRDefault="00793755" w:rsidP="00A513CE">
      <w:pPr>
        <w:rPr>
          <w:rFonts w:cs="Times New Roman"/>
          <w:b/>
        </w:rPr>
      </w:pPr>
    </w:p>
    <w:p w:rsidR="00643B9F" w:rsidRDefault="00643B9F" w:rsidP="00A513CE">
      <w:pPr>
        <w:rPr>
          <w:rFonts w:cs="Times New Roman"/>
          <w:b/>
        </w:rPr>
      </w:pPr>
    </w:p>
    <w:p w:rsidR="00643B9F" w:rsidRDefault="00643B9F" w:rsidP="00A513CE">
      <w:pPr>
        <w:rPr>
          <w:rFonts w:cs="Times New Roman"/>
          <w:b/>
        </w:rPr>
      </w:pPr>
    </w:p>
    <w:p w:rsidR="00643B9F" w:rsidRDefault="00643B9F" w:rsidP="00A513CE">
      <w:pPr>
        <w:rPr>
          <w:rFonts w:cs="Times New Roman"/>
          <w:b/>
        </w:rPr>
      </w:pPr>
    </w:p>
    <w:p w:rsidR="00592311" w:rsidRDefault="00592311" w:rsidP="00A513CE">
      <w:pPr>
        <w:rPr>
          <w:rFonts w:cs="Times New Roman"/>
          <w:b/>
        </w:rPr>
      </w:pPr>
    </w:p>
    <w:p w:rsidR="00793755" w:rsidRDefault="00793755" w:rsidP="00A513CE">
      <w:pPr>
        <w:rPr>
          <w:rFonts w:cs="Times New Roman"/>
          <w:b/>
        </w:rPr>
      </w:pPr>
    </w:p>
    <w:p w:rsidR="00C62C37" w:rsidRPr="00A513CE" w:rsidRDefault="00C62C37" w:rsidP="00A513CE">
      <w:pPr>
        <w:rPr>
          <w:rFonts w:cs="Times New Roman"/>
          <w:b/>
        </w:rPr>
      </w:pPr>
      <w:r w:rsidRPr="00A513CE">
        <w:rPr>
          <w:rFonts w:cs="Times New Roman"/>
          <w:b/>
        </w:rPr>
        <w:lastRenderedPageBreak/>
        <w:t xml:space="preserve">Tablo 5: </w:t>
      </w:r>
      <w:r w:rsidR="002F35DF" w:rsidRPr="00A513CE">
        <w:rPr>
          <w:rFonts w:cs="Times New Roman"/>
          <w:b/>
        </w:rPr>
        <w:t xml:space="preserve">Ülkelerin </w:t>
      </w:r>
      <w:r w:rsidRPr="00A513CE">
        <w:rPr>
          <w:rFonts w:cs="Times New Roman"/>
          <w:b/>
        </w:rPr>
        <w:t>büyüme</w:t>
      </w:r>
      <w:r w:rsidR="002F35DF" w:rsidRPr="00A513CE">
        <w:rPr>
          <w:rFonts w:cs="Times New Roman"/>
          <w:b/>
        </w:rPr>
        <w:t xml:space="preserve"> oranları ve dünyadaki</w:t>
      </w:r>
      <w:r w:rsidRPr="00A513CE">
        <w:rPr>
          <w:rFonts w:cs="Times New Roman"/>
          <w:b/>
        </w:rPr>
        <w:t xml:space="preserve"> sıralama</w:t>
      </w:r>
      <w:r w:rsidR="002F35DF" w:rsidRPr="00A513CE">
        <w:rPr>
          <w:rFonts w:cs="Times New Roman"/>
          <w:b/>
        </w:rPr>
        <w:t>lar</w:t>
      </w:r>
      <w:r w:rsidRPr="00A513CE">
        <w:rPr>
          <w:rFonts w:cs="Times New Roman"/>
          <w:b/>
        </w:rPr>
        <w:t>ı</w:t>
      </w:r>
      <w:r w:rsidR="002F35DF" w:rsidRPr="00A513CE">
        <w:rPr>
          <w:rFonts w:cs="Times New Roman"/>
          <w:b/>
        </w:rPr>
        <w:t xml:space="preserve">, </w:t>
      </w:r>
      <w:r w:rsidR="005B586F" w:rsidRPr="00A513CE">
        <w:rPr>
          <w:rFonts w:cs="Times New Roman"/>
          <w:b/>
        </w:rPr>
        <w:t xml:space="preserve">ilk 15 ülke, </w:t>
      </w:r>
      <w:r w:rsidR="00251F44">
        <w:rPr>
          <w:rFonts w:cs="Times New Roman"/>
          <w:b/>
        </w:rPr>
        <w:t>2018</w:t>
      </w:r>
    </w:p>
    <w:tbl>
      <w:tblPr>
        <w:tblW w:w="4760" w:type="dxa"/>
        <w:tblInd w:w="75" w:type="dxa"/>
        <w:tblCellMar>
          <w:left w:w="70" w:type="dxa"/>
          <w:right w:w="70" w:type="dxa"/>
        </w:tblCellMar>
        <w:tblLook w:val="04A0" w:firstRow="1" w:lastRow="0" w:firstColumn="1" w:lastColumn="0" w:noHBand="0" w:noVBand="1"/>
      </w:tblPr>
      <w:tblGrid>
        <w:gridCol w:w="2760"/>
        <w:gridCol w:w="1320"/>
        <w:gridCol w:w="714"/>
      </w:tblGrid>
      <w:tr w:rsidR="001C4254" w:rsidRPr="001C4254" w:rsidTr="001C4254">
        <w:trPr>
          <w:trHeight w:val="630"/>
        </w:trPr>
        <w:tc>
          <w:tcPr>
            <w:tcW w:w="2760"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1C4254" w:rsidRPr="001C4254" w:rsidRDefault="001C4254" w:rsidP="001C4254">
            <w:pPr>
              <w:spacing w:after="0" w:line="240" w:lineRule="auto"/>
              <w:jc w:val="center"/>
              <w:rPr>
                <w:rFonts w:eastAsia="Times New Roman" w:cs="Times New Roman"/>
                <w:b/>
                <w:bCs/>
                <w:color w:val="FFFFFF"/>
                <w:szCs w:val="24"/>
              </w:rPr>
            </w:pPr>
            <w:r w:rsidRPr="001C4254">
              <w:rPr>
                <w:rFonts w:eastAsia="Times New Roman" w:cs="Times New Roman"/>
                <w:b/>
                <w:bCs/>
                <w:color w:val="FFFFFF"/>
                <w:szCs w:val="24"/>
              </w:rPr>
              <w:t> </w:t>
            </w:r>
          </w:p>
        </w:tc>
        <w:tc>
          <w:tcPr>
            <w:tcW w:w="1320" w:type="dxa"/>
            <w:tcBorders>
              <w:top w:val="single" w:sz="4" w:space="0" w:color="FFFFFF"/>
              <w:left w:val="nil"/>
              <w:bottom w:val="single" w:sz="4" w:space="0" w:color="FFFFFF"/>
              <w:right w:val="single" w:sz="4" w:space="0" w:color="FFFFFF"/>
            </w:tcBorders>
            <w:shd w:val="clear" w:color="000000" w:fill="002060"/>
            <w:vAlign w:val="center"/>
            <w:hideMark/>
          </w:tcPr>
          <w:p w:rsidR="001C4254" w:rsidRPr="001C4254" w:rsidRDefault="001C4254" w:rsidP="001C4254">
            <w:pPr>
              <w:spacing w:after="0" w:line="240" w:lineRule="auto"/>
              <w:jc w:val="center"/>
              <w:rPr>
                <w:rFonts w:eastAsia="Times New Roman" w:cs="Times New Roman"/>
                <w:b/>
                <w:bCs/>
                <w:color w:val="FFFFFF"/>
                <w:szCs w:val="24"/>
              </w:rPr>
            </w:pPr>
            <w:r w:rsidRPr="001C4254">
              <w:rPr>
                <w:rFonts w:eastAsia="Times New Roman" w:cs="Times New Roman"/>
                <w:b/>
                <w:bCs/>
                <w:color w:val="FFFFFF"/>
                <w:szCs w:val="24"/>
              </w:rPr>
              <w:t>BÜYÜME ORANI, %</w:t>
            </w:r>
          </w:p>
        </w:tc>
        <w:tc>
          <w:tcPr>
            <w:tcW w:w="680" w:type="dxa"/>
            <w:tcBorders>
              <w:top w:val="single" w:sz="4" w:space="0" w:color="FFFFFF"/>
              <w:left w:val="nil"/>
              <w:bottom w:val="single" w:sz="4" w:space="0" w:color="FFFFFF"/>
              <w:right w:val="single" w:sz="4" w:space="0" w:color="FFFFFF"/>
            </w:tcBorders>
            <w:shd w:val="clear" w:color="000000" w:fill="002060"/>
            <w:noWrap/>
            <w:vAlign w:val="center"/>
            <w:hideMark/>
          </w:tcPr>
          <w:p w:rsidR="001C4254" w:rsidRPr="001C4254" w:rsidRDefault="001C4254" w:rsidP="001C4254">
            <w:pPr>
              <w:spacing w:after="0" w:line="240" w:lineRule="auto"/>
              <w:jc w:val="center"/>
              <w:rPr>
                <w:rFonts w:eastAsia="Times New Roman" w:cs="Times New Roman"/>
                <w:b/>
                <w:bCs/>
                <w:color w:val="FFFFFF"/>
                <w:szCs w:val="24"/>
              </w:rPr>
            </w:pPr>
            <w:r w:rsidRPr="001C4254">
              <w:rPr>
                <w:rFonts w:eastAsia="Times New Roman" w:cs="Times New Roman"/>
                <w:b/>
                <w:bCs/>
                <w:color w:val="FFFFFF"/>
                <w:szCs w:val="24"/>
              </w:rPr>
              <w:t>SIRA</w:t>
            </w:r>
          </w:p>
        </w:tc>
      </w:tr>
      <w:tr w:rsidR="001C4254" w:rsidRPr="001C4254" w:rsidTr="001C4254">
        <w:trPr>
          <w:trHeight w:val="315"/>
        </w:trPr>
        <w:tc>
          <w:tcPr>
            <w:tcW w:w="2760" w:type="dxa"/>
            <w:tcBorders>
              <w:top w:val="nil"/>
              <w:left w:val="single" w:sz="4" w:space="0" w:color="FFFFFF"/>
              <w:bottom w:val="single" w:sz="4" w:space="0" w:color="FFFFFF"/>
              <w:right w:val="single" w:sz="4" w:space="0" w:color="FFFFFF"/>
            </w:tcBorders>
            <w:shd w:val="clear" w:color="000000" w:fill="002060"/>
            <w:noWrap/>
            <w:vAlign w:val="bottom"/>
            <w:hideMark/>
          </w:tcPr>
          <w:p w:rsidR="001C4254" w:rsidRPr="001C4254" w:rsidRDefault="001C4254" w:rsidP="001C4254">
            <w:pPr>
              <w:spacing w:after="0" w:line="240" w:lineRule="auto"/>
              <w:jc w:val="left"/>
              <w:rPr>
                <w:rFonts w:eastAsia="Times New Roman" w:cs="Times New Roman"/>
                <w:color w:val="FFFFFF"/>
                <w:szCs w:val="24"/>
              </w:rPr>
            </w:pPr>
            <w:r w:rsidRPr="001C4254">
              <w:rPr>
                <w:rFonts w:eastAsia="Times New Roman" w:cs="Times New Roman"/>
                <w:color w:val="FFFFFF"/>
                <w:szCs w:val="24"/>
              </w:rPr>
              <w:t>Ruanda</w:t>
            </w:r>
          </w:p>
        </w:tc>
        <w:tc>
          <w:tcPr>
            <w:tcW w:w="132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8,7</w:t>
            </w:r>
          </w:p>
        </w:tc>
        <w:tc>
          <w:tcPr>
            <w:tcW w:w="68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1</w:t>
            </w:r>
          </w:p>
        </w:tc>
      </w:tr>
      <w:tr w:rsidR="001C4254" w:rsidRPr="001C4254" w:rsidTr="001C4254">
        <w:trPr>
          <w:trHeight w:val="315"/>
        </w:trPr>
        <w:tc>
          <w:tcPr>
            <w:tcW w:w="2760" w:type="dxa"/>
            <w:tcBorders>
              <w:top w:val="nil"/>
              <w:left w:val="single" w:sz="4" w:space="0" w:color="FFFFFF"/>
              <w:bottom w:val="single" w:sz="4" w:space="0" w:color="FFFFFF"/>
              <w:right w:val="single" w:sz="4" w:space="0" w:color="FFFFFF"/>
            </w:tcBorders>
            <w:shd w:val="clear" w:color="000000" w:fill="002060"/>
            <w:noWrap/>
            <w:vAlign w:val="bottom"/>
            <w:hideMark/>
          </w:tcPr>
          <w:p w:rsidR="001C4254" w:rsidRPr="001C4254" w:rsidRDefault="001C4254" w:rsidP="001C4254">
            <w:pPr>
              <w:spacing w:after="0" w:line="240" w:lineRule="auto"/>
              <w:jc w:val="left"/>
              <w:rPr>
                <w:rFonts w:eastAsia="Times New Roman" w:cs="Times New Roman"/>
                <w:color w:val="FFFFFF"/>
                <w:szCs w:val="24"/>
              </w:rPr>
            </w:pPr>
            <w:r w:rsidRPr="001C4254">
              <w:rPr>
                <w:rFonts w:eastAsia="Times New Roman" w:cs="Times New Roman"/>
                <w:color w:val="FFFFFF"/>
                <w:szCs w:val="24"/>
              </w:rPr>
              <w:t>Gine</w:t>
            </w:r>
          </w:p>
        </w:tc>
        <w:tc>
          <w:tcPr>
            <w:tcW w:w="132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8,7</w:t>
            </w:r>
          </w:p>
        </w:tc>
        <w:tc>
          <w:tcPr>
            <w:tcW w:w="68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2</w:t>
            </w:r>
          </w:p>
        </w:tc>
      </w:tr>
      <w:tr w:rsidR="001C4254" w:rsidRPr="001C4254" w:rsidTr="001C4254">
        <w:trPr>
          <w:trHeight w:val="315"/>
        </w:trPr>
        <w:tc>
          <w:tcPr>
            <w:tcW w:w="2760" w:type="dxa"/>
            <w:tcBorders>
              <w:top w:val="nil"/>
              <w:left w:val="single" w:sz="4" w:space="0" w:color="FFFFFF"/>
              <w:bottom w:val="single" w:sz="4" w:space="0" w:color="FFFFFF"/>
              <w:right w:val="single" w:sz="4" w:space="0" w:color="FFFFFF"/>
            </w:tcBorders>
            <w:shd w:val="clear" w:color="000000" w:fill="002060"/>
            <w:noWrap/>
            <w:vAlign w:val="bottom"/>
            <w:hideMark/>
          </w:tcPr>
          <w:p w:rsidR="001C4254" w:rsidRPr="001C4254" w:rsidRDefault="001C4254" w:rsidP="001C4254">
            <w:pPr>
              <w:spacing w:after="0" w:line="240" w:lineRule="auto"/>
              <w:jc w:val="left"/>
              <w:rPr>
                <w:rFonts w:eastAsia="Times New Roman" w:cs="Times New Roman"/>
                <w:color w:val="FFFFFF"/>
                <w:szCs w:val="24"/>
              </w:rPr>
            </w:pPr>
            <w:r w:rsidRPr="001C4254">
              <w:rPr>
                <w:rFonts w:eastAsia="Times New Roman" w:cs="Times New Roman"/>
                <w:color w:val="FFFFFF"/>
                <w:szCs w:val="24"/>
              </w:rPr>
              <w:t>Bangladeş</w:t>
            </w:r>
          </w:p>
        </w:tc>
        <w:tc>
          <w:tcPr>
            <w:tcW w:w="132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7,9</w:t>
            </w:r>
          </w:p>
        </w:tc>
        <w:tc>
          <w:tcPr>
            <w:tcW w:w="68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3</w:t>
            </w:r>
          </w:p>
        </w:tc>
      </w:tr>
      <w:tr w:rsidR="001C4254" w:rsidRPr="001C4254" w:rsidTr="001C4254">
        <w:trPr>
          <w:trHeight w:val="315"/>
        </w:trPr>
        <w:tc>
          <w:tcPr>
            <w:tcW w:w="2760" w:type="dxa"/>
            <w:tcBorders>
              <w:top w:val="nil"/>
              <w:left w:val="single" w:sz="4" w:space="0" w:color="FFFFFF"/>
              <w:bottom w:val="single" w:sz="4" w:space="0" w:color="FFFFFF"/>
              <w:right w:val="single" w:sz="4" w:space="0" w:color="FFFFFF"/>
            </w:tcBorders>
            <w:shd w:val="clear" w:color="000000" w:fill="002060"/>
            <w:noWrap/>
            <w:vAlign w:val="bottom"/>
            <w:hideMark/>
          </w:tcPr>
          <w:p w:rsidR="001C4254" w:rsidRPr="001C4254" w:rsidRDefault="001C4254" w:rsidP="001C4254">
            <w:pPr>
              <w:spacing w:after="0" w:line="240" w:lineRule="auto"/>
              <w:jc w:val="left"/>
              <w:rPr>
                <w:rFonts w:eastAsia="Times New Roman" w:cs="Times New Roman"/>
                <w:color w:val="FFFFFF"/>
                <w:szCs w:val="24"/>
              </w:rPr>
            </w:pPr>
            <w:r w:rsidRPr="001C4254">
              <w:rPr>
                <w:rFonts w:eastAsia="Times New Roman" w:cs="Times New Roman"/>
                <w:color w:val="FFFFFF"/>
                <w:szCs w:val="24"/>
              </w:rPr>
              <w:t>Libya</w:t>
            </w:r>
          </w:p>
        </w:tc>
        <w:tc>
          <w:tcPr>
            <w:tcW w:w="132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7,8</w:t>
            </w:r>
          </w:p>
        </w:tc>
        <w:tc>
          <w:tcPr>
            <w:tcW w:w="68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4</w:t>
            </w:r>
          </w:p>
        </w:tc>
      </w:tr>
      <w:tr w:rsidR="001C4254" w:rsidRPr="001C4254" w:rsidTr="001C4254">
        <w:trPr>
          <w:trHeight w:val="315"/>
        </w:trPr>
        <w:tc>
          <w:tcPr>
            <w:tcW w:w="2760" w:type="dxa"/>
            <w:tcBorders>
              <w:top w:val="nil"/>
              <w:left w:val="single" w:sz="4" w:space="0" w:color="FFFFFF"/>
              <w:bottom w:val="single" w:sz="4" w:space="0" w:color="FFFFFF"/>
              <w:right w:val="single" w:sz="4" w:space="0" w:color="FFFFFF"/>
            </w:tcBorders>
            <w:shd w:val="clear" w:color="000000" w:fill="002060"/>
            <w:noWrap/>
            <w:vAlign w:val="bottom"/>
            <w:hideMark/>
          </w:tcPr>
          <w:p w:rsidR="001C4254" w:rsidRPr="001C4254" w:rsidRDefault="001C4254" w:rsidP="001C4254">
            <w:pPr>
              <w:spacing w:after="0" w:line="240" w:lineRule="auto"/>
              <w:jc w:val="left"/>
              <w:rPr>
                <w:rFonts w:eastAsia="Times New Roman" w:cs="Times New Roman"/>
                <w:color w:val="FFFFFF"/>
                <w:szCs w:val="24"/>
              </w:rPr>
            </w:pPr>
            <w:r w:rsidRPr="001C4254">
              <w:rPr>
                <w:rFonts w:eastAsia="Times New Roman" w:cs="Times New Roman"/>
                <w:color w:val="FFFFFF"/>
                <w:szCs w:val="24"/>
              </w:rPr>
              <w:t>Kamboçya</w:t>
            </w:r>
          </w:p>
        </w:tc>
        <w:tc>
          <w:tcPr>
            <w:tcW w:w="132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7,5</w:t>
            </w:r>
          </w:p>
        </w:tc>
        <w:tc>
          <w:tcPr>
            <w:tcW w:w="68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5</w:t>
            </w:r>
          </w:p>
        </w:tc>
      </w:tr>
      <w:tr w:rsidR="001C4254" w:rsidRPr="001C4254" w:rsidTr="001C4254">
        <w:trPr>
          <w:trHeight w:val="315"/>
        </w:trPr>
        <w:tc>
          <w:tcPr>
            <w:tcW w:w="2760" w:type="dxa"/>
            <w:tcBorders>
              <w:top w:val="nil"/>
              <w:left w:val="single" w:sz="4" w:space="0" w:color="FFFFFF"/>
              <w:bottom w:val="single" w:sz="4" w:space="0" w:color="FFFFFF"/>
              <w:right w:val="single" w:sz="4" w:space="0" w:color="FFFFFF"/>
            </w:tcBorders>
            <w:shd w:val="clear" w:color="000000" w:fill="002060"/>
            <w:noWrap/>
            <w:vAlign w:val="bottom"/>
            <w:hideMark/>
          </w:tcPr>
          <w:p w:rsidR="001C4254" w:rsidRPr="001C4254" w:rsidRDefault="001C4254" w:rsidP="001C4254">
            <w:pPr>
              <w:spacing w:after="0" w:line="240" w:lineRule="auto"/>
              <w:jc w:val="left"/>
              <w:rPr>
                <w:rFonts w:eastAsia="Times New Roman" w:cs="Times New Roman"/>
                <w:color w:val="FFFFFF"/>
                <w:szCs w:val="24"/>
              </w:rPr>
            </w:pPr>
            <w:r w:rsidRPr="001C4254">
              <w:rPr>
                <w:rFonts w:eastAsia="Times New Roman" w:cs="Times New Roman"/>
                <w:color w:val="FFFFFF"/>
                <w:szCs w:val="24"/>
              </w:rPr>
              <w:t>Fildişi Sahili</w:t>
            </w:r>
          </w:p>
        </w:tc>
        <w:tc>
          <w:tcPr>
            <w:tcW w:w="132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7,4</w:t>
            </w:r>
          </w:p>
        </w:tc>
        <w:tc>
          <w:tcPr>
            <w:tcW w:w="68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6</w:t>
            </w:r>
          </w:p>
        </w:tc>
      </w:tr>
      <w:tr w:rsidR="001C4254" w:rsidRPr="001C4254" w:rsidTr="001C4254">
        <w:trPr>
          <w:trHeight w:val="315"/>
        </w:trPr>
        <w:tc>
          <w:tcPr>
            <w:tcW w:w="2760" w:type="dxa"/>
            <w:tcBorders>
              <w:top w:val="nil"/>
              <w:left w:val="single" w:sz="4" w:space="0" w:color="FFFFFF"/>
              <w:bottom w:val="single" w:sz="4" w:space="0" w:color="FFFFFF"/>
              <w:right w:val="single" w:sz="4" w:space="0" w:color="FFFFFF"/>
            </w:tcBorders>
            <w:shd w:val="clear" w:color="000000" w:fill="002060"/>
            <w:noWrap/>
            <w:vAlign w:val="bottom"/>
            <w:hideMark/>
          </w:tcPr>
          <w:p w:rsidR="001C4254" w:rsidRPr="001C4254" w:rsidRDefault="001C4254" w:rsidP="001C4254">
            <w:pPr>
              <w:spacing w:after="0" w:line="240" w:lineRule="auto"/>
              <w:jc w:val="left"/>
              <w:rPr>
                <w:rFonts w:eastAsia="Times New Roman" w:cs="Times New Roman"/>
                <w:color w:val="FFFFFF"/>
                <w:szCs w:val="24"/>
              </w:rPr>
            </w:pPr>
            <w:r w:rsidRPr="001C4254">
              <w:rPr>
                <w:rFonts w:eastAsia="Times New Roman" w:cs="Times New Roman"/>
                <w:color w:val="FFFFFF"/>
                <w:szCs w:val="24"/>
              </w:rPr>
              <w:t>Tacikistan</w:t>
            </w:r>
          </w:p>
        </w:tc>
        <w:tc>
          <w:tcPr>
            <w:tcW w:w="132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7,3</w:t>
            </w:r>
          </w:p>
        </w:tc>
        <w:tc>
          <w:tcPr>
            <w:tcW w:w="68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7</w:t>
            </w:r>
          </w:p>
        </w:tc>
      </w:tr>
      <w:tr w:rsidR="001C4254" w:rsidRPr="001C4254" w:rsidTr="001C4254">
        <w:trPr>
          <w:trHeight w:val="315"/>
        </w:trPr>
        <w:tc>
          <w:tcPr>
            <w:tcW w:w="2760" w:type="dxa"/>
            <w:tcBorders>
              <w:top w:val="nil"/>
              <w:left w:val="single" w:sz="4" w:space="0" w:color="FFFFFF"/>
              <w:bottom w:val="single" w:sz="4" w:space="0" w:color="FFFFFF"/>
              <w:right w:val="single" w:sz="4" w:space="0" w:color="FFFFFF"/>
            </w:tcBorders>
            <w:shd w:val="clear" w:color="000000" w:fill="002060"/>
            <w:noWrap/>
            <w:vAlign w:val="bottom"/>
            <w:hideMark/>
          </w:tcPr>
          <w:p w:rsidR="001C4254" w:rsidRPr="001C4254" w:rsidRDefault="001C4254" w:rsidP="001C4254">
            <w:pPr>
              <w:spacing w:after="0" w:line="240" w:lineRule="auto"/>
              <w:jc w:val="left"/>
              <w:rPr>
                <w:rFonts w:eastAsia="Times New Roman" w:cs="Times New Roman"/>
                <w:color w:val="FFFFFF"/>
                <w:szCs w:val="24"/>
              </w:rPr>
            </w:pPr>
            <w:r w:rsidRPr="001C4254">
              <w:rPr>
                <w:rFonts w:eastAsia="Times New Roman" w:cs="Times New Roman"/>
                <w:color w:val="FFFFFF"/>
                <w:szCs w:val="24"/>
              </w:rPr>
              <w:t>Vietnam</w:t>
            </w:r>
          </w:p>
        </w:tc>
        <w:tc>
          <w:tcPr>
            <w:tcW w:w="132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7,1</w:t>
            </w:r>
          </w:p>
        </w:tc>
        <w:tc>
          <w:tcPr>
            <w:tcW w:w="68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8</w:t>
            </w:r>
          </w:p>
        </w:tc>
      </w:tr>
      <w:tr w:rsidR="001C4254" w:rsidRPr="001C4254" w:rsidTr="001C4254">
        <w:trPr>
          <w:trHeight w:val="315"/>
        </w:trPr>
        <w:tc>
          <w:tcPr>
            <w:tcW w:w="2760" w:type="dxa"/>
            <w:tcBorders>
              <w:top w:val="nil"/>
              <w:left w:val="single" w:sz="4" w:space="0" w:color="FFFFFF"/>
              <w:bottom w:val="single" w:sz="4" w:space="0" w:color="FFFFFF"/>
              <w:right w:val="single" w:sz="4" w:space="0" w:color="FFFFFF"/>
            </w:tcBorders>
            <w:shd w:val="clear" w:color="000000" w:fill="002060"/>
            <w:noWrap/>
            <w:vAlign w:val="bottom"/>
            <w:hideMark/>
          </w:tcPr>
          <w:p w:rsidR="001C4254" w:rsidRPr="001C4254" w:rsidRDefault="001C4254" w:rsidP="001C4254">
            <w:pPr>
              <w:spacing w:after="0" w:line="240" w:lineRule="auto"/>
              <w:jc w:val="left"/>
              <w:rPr>
                <w:rFonts w:eastAsia="Times New Roman" w:cs="Times New Roman"/>
                <w:color w:val="FFFFFF"/>
                <w:szCs w:val="24"/>
              </w:rPr>
            </w:pPr>
            <w:r w:rsidRPr="001C4254">
              <w:rPr>
                <w:rFonts w:eastAsia="Times New Roman" w:cs="Times New Roman"/>
                <w:color w:val="FFFFFF"/>
                <w:szCs w:val="24"/>
              </w:rPr>
              <w:t>Hindistan</w:t>
            </w:r>
          </w:p>
        </w:tc>
        <w:tc>
          <w:tcPr>
            <w:tcW w:w="132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7,0</w:t>
            </w:r>
          </w:p>
        </w:tc>
        <w:tc>
          <w:tcPr>
            <w:tcW w:w="68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9</w:t>
            </w:r>
          </w:p>
        </w:tc>
      </w:tr>
      <w:tr w:rsidR="001C4254" w:rsidRPr="001C4254" w:rsidTr="001C4254">
        <w:trPr>
          <w:trHeight w:val="315"/>
        </w:trPr>
        <w:tc>
          <w:tcPr>
            <w:tcW w:w="2760" w:type="dxa"/>
            <w:tcBorders>
              <w:top w:val="nil"/>
              <w:left w:val="single" w:sz="4" w:space="0" w:color="FFFFFF"/>
              <w:bottom w:val="single" w:sz="4" w:space="0" w:color="FFFFFF"/>
              <w:right w:val="single" w:sz="4" w:space="0" w:color="FFFFFF"/>
            </w:tcBorders>
            <w:shd w:val="clear" w:color="000000" w:fill="002060"/>
            <w:noWrap/>
            <w:vAlign w:val="bottom"/>
            <w:hideMark/>
          </w:tcPr>
          <w:p w:rsidR="001C4254" w:rsidRPr="001C4254" w:rsidRDefault="001C4254" w:rsidP="001C4254">
            <w:pPr>
              <w:spacing w:after="0" w:line="240" w:lineRule="auto"/>
              <w:jc w:val="left"/>
              <w:rPr>
                <w:rFonts w:eastAsia="Times New Roman" w:cs="Times New Roman"/>
                <w:color w:val="FFFFFF"/>
                <w:szCs w:val="24"/>
              </w:rPr>
            </w:pPr>
            <w:r w:rsidRPr="001C4254">
              <w:rPr>
                <w:rFonts w:eastAsia="Times New Roman" w:cs="Times New Roman"/>
                <w:color w:val="FFFFFF"/>
                <w:szCs w:val="24"/>
              </w:rPr>
              <w:t>Dominik Cumhuriyeti</w:t>
            </w:r>
          </w:p>
        </w:tc>
        <w:tc>
          <w:tcPr>
            <w:tcW w:w="132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7,0</w:t>
            </w:r>
          </w:p>
        </w:tc>
        <w:tc>
          <w:tcPr>
            <w:tcW w:w="68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10</w:t>
            </w:r>
          </w:p>
        </w:tc>
      </w:tr>
      <w:tr w:rsidR="001C4254" w:rsidRPr="001C4254" w:rsidTr="001C4254">
        <w:trPr>
          <w:trHeight w:val="315"/>
        </w:trPr>
        <w:tc>
          <w:tcPr>
            <w:tcW w:w="2760" w:type="dxa"/>
            <w:tcBorders>
              <w:top w:val="nil"/>
              <w:left w:val="single" w:sz="4" w:space="0" w:color="FFFFFF"/>
              <w:bottom w:val="single" w:sz="4" w:space="0" w:color="FFFFFF"/>
              <w:right w:val="single" w:sz="4" w:space="0" w:color="FFFFFF"/>
            </w:tcBorders>
            <w:shd w:val="clear" w:color="000000" w:fill="002060"/>
            <w:noWrap/>
            <w:vAlign w:val="bottom"/>
            <w:hideMark/>
          </w:tcPr>
          <w:p w:rsidR="001C4254" w:rsidRPr="001C4254" w:rsidRDefault="001C4254" w:rsidP="001C4254">
            <w:pPr>
              <w:spacing w:after="0" w:line="240" w:lineRule="auto"/>
              <w:jc w:val="left"/>
              <w:rPr>
                <w:rFonts w:eastAsia="Times New Roman" w:cs="Times New Roman"/>
                <w:color w:val="FFFFFF"/>
                <w:szCs w:val="24"/>
              </w:rPr>
            </w:pPr>
            <w:r w:rsidRPr="001C4254">
              <w:rPr>
                <w:rFonts w:eastAsia="Times New Roman" w:cs="Times New Roman"/>
                <w:color w:val="FFFFFF"/>
                <w:szCs w:val="24"/>
              </w:rPr>
              <w:t>Moğolistan</w:t>
            </w:r>
          </w:p>
        </w:tc>
        <w:tc>
          <w:tcPr>
            <w:tcW w:w="132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6,9</w:t>
            </w:r>
          </w:p>
        </w:tc>
        <w:tc>
          <w:tcPr>
            <w:tcW w:w="68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11</w:t>
            </w:r>
          </w:p>
        </w:tc>
      </w:tr>
      <w:tr w:rsidR="001C4254" w:rsidRPr="001C4254" w:rsidTr="001C4254">
        <w:trPr>
          <w:trHeight w:val="315"/>
        </w:trPr>
        <w:tc>
          <w:tcPr>
            <w:tcW w:w="2760" w:type="dxa"/>
            <w:tcBorders>
              <w:top w:val="nil"/>
              <w:left w:val="single" w:sz="4" w:space="0" w:color="FFFFFF"/>
              <w:bottom w:val="single" w:sz="4" w:space="0" w:color="FFFFFF"/>
              <w:right w:val="single" w:sz="4" w:space="0" w:color="FFFFFF"/>
            </w:tcBorders>
            <w:shd w:val="clear" w:color="000000" w:fill="002060"/>
            <w:noWrap/>
            <w:vAlign w:val="bottom"/>
            <w:hideMark/>
          </w:tcPr>
          <w:p w:rsidR="001C4254" w:rsidRPr="001C4254" w:rsidRDefault="001C4254" w:rsidP="001C4254">
            <w:pPr>
              <w:spacing w:after="0" w:line="240" w:lineRule="auto"/>
              <w:jc w:val="left"/>
              <w:rPr>
                <w:rFonts w:eastAsia="Times New Roman" w:cs="Times New Roman"/>
                <w:color w:val="FFFFFF"/>
                <w:szCs w:val="24"/>
              </w:rPr>
            </w:pPr>
            <w:r w:rsidRPr="001C4254">
              <w:rPr>
                <w:rFonts w:eastAsia="Times New Roman" w:cs="Times New Roman"/>
                <w:color w:val="FFFFFF"/>
                <w:szCs w:val="24"/>
              </w:rPr>
              <w:t>Benin</w:t>
            </w:r>
          </w:p>
        </w:tc>
        <w:tc>
          <w:tcPr>
            <w:tcW w:w="132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6,9</w:t>
            </w:r>
          </w:p>
        </w:tc>
        <w:tc>
          <w:tcPr>
            <w:tcW w:w="68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12</w:t>
            </w:r>
          </w:p>
        </w:tc>
      </w:tr>
      <w:tr w:rsidR="001C4254" w:rsidRPr="001C4254" w:rsidTr="001C4254">
        <w:trPr>
          <w:trHeight w:val="315"/>
        </w:trPr>
        <w:tc>
          <w:tcPr>
            <w:tcW w:w="2760" w:type="dxa"/>
            <w:tcBorders>
              <w:top w:val="nil"/>
              <w:left w:val="single" w:sz="4" w:space="0" w:color="FFFFFF"/>
              <w:bottom w:val="single" w:sz="4" w:space="0" w:color="FFFFFF"/>
              <w:right w:val="single" w:sz="4" w:space="0" w:color="FFFFFF"/>
            </w:tcBorders>
            <w:shd w:val="clear" w:color="000000" w:fill="002060"/>
            <w:noWrap/>
            <w:vAlign w:val="bottom"/>
            <w:hideMark/>
          </w:tcPr>
          <w:p w:rsidR="001C4254" w:rsidRPr="001C4254" w:rsidRDefault="001C4254" w:rsidP="001C4254">
            <w:pPr>
              <w:spacing w:after="0" w:line="240" w:lineRule="auto"/>
              <w:jc w:val="left"/>
              <w:rPr>
                <w:rFonts w:eastAsia="Times New Roman" w:cs="Times New Roman"/>
                <w:color w:val="FFFFFF"/>
                <w:szCs w:val="24"/>
              </w:rPr>
            </w:pPr>
            <w:r w:rsidRPr="001C4254">
              <w:rPr>
                <w:rFonts w:eastAsia="Times New Roman" w:cs="Times New Roman"/>
                <w:color w:val="FFFFFF"/>
                <w:szCs w:val="24"/>
              </w:rPr>
              <w:t>Etiyopya</w:t>
            </w:r>
          </w:p>
        </w:tc>
        <w:tc>
          <w:tcPr>
            <w:tcW w:w="132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6,8</w:t>
            </w:r>
          </w:p>
        </w:tc>
        <w:tc>
          <w:tcPr>
            <w:tcW w:w="68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13</w:t>
            </w:r>
          </w:p>
        </w:tc>
      </w:tr>
      <w:tr w:rsidR="001C4254" w:rsidRPr="001C4254" w:rsidTr="001C4254">
        <w:trPr>
          <w:trHeight w:val="315"/>
        </w:trPr>
        <w:tc>
          <w:tcPr>
            <w:tcW w:w="2760" w:type="dxa"/>
            <w:tcBorders>
              <w:top w:val="nil"/>
              <w:left w:val="single" w:sz="4" w:space="0" w:color="FFFFFF"/>
              <w:bottom w:val="single" w:sz="4" w:space="0" w:color="FFFFFF"/>
              <w:right w:val="single" w:sz="4" w:space="0" w:color="FFFFFF"/>
            </w:tcBorders>
            <w:shd w:val="clear" w:color="000000" w:fill="002060"/>
            <w:noWrap/>
            <w:vAlign w:val="bottom"/>
            <w:hideMark/>
          </w:tcPr>
          <w:p w:rsidR="001C4254" w:rsidRPr="001C4254" w:rsidRDefault="001C4254" w:rsidP="001C4254">
            <w:pPr>
              <w:spacing w:after="0" w:line="240" w:lineRule="auto"/>
              <w:jc w:val="left"/>
              <w:rPr>
                <w:rFonts w:eastAsia="Times New Roman" w:cs="Times New Roman"/>
                <w:color w:val="FFFFFF"/>
                <w:szCs w:val="24"/>
              </w:rPr>
            </w:pPr>
            <w:r>
              <w:rPr>
                <w:rFonts w:eastAsia="Times New Roman" w:cs="Times New Roman"/>
                <w:color w:val="FFFFFF"/>
                <w:szCs w:val="24"/>
              </w:rPr>
              <w:t>S</w:t>
            </w:r>
            <w:r w:rsidRPr="001C4254">
              <w:rPr>
                <w:rFonts w:eastAsia="Times New Roman" w:cs="Times New Roman"/>
                <w:color w:val="FFFFFF"/>
                <w:szCs w:val="24"/>
              </w:rPr>
              <w:t>enegal</w:t>
            </w:r>
          </w:p>
        </w:tc>
        <w:tc>
          <w:tcPr>
            <w:tcW w:w="132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6,8</w:t>
            </w:r>
          </w:p>
        </w:tc>
        <w:tc>
          <w:tcPr>
            <w:tcW w:w="68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14</w:t>
            </w:r>
          </w:p>
        </w:tc>
      </w:tr>
      <w:tr w:rsidR="001C4254" w:rsidRPr="001C4254" w:rsidTr="001C4254">
        <w:trPr>
          <w:trHeight w:val="315"/>
        </w:trPr>
        <w:tc>
          <w:tcPr>
            <w:tcW w:w="2760" w:type="dxa"/>
            <w:tcBorders>
              <w:top w:val="nil"/>
              <w:left w:val="single" w:sz="4" w:space="0" w:color="FFFFFF"/>
              <w:bottom w:val="single" w:sz="4" w:space="0" w:color="FFFFFF"/>
              <w:right w:val="single" w:sz="4" w:space="0" w:color="FFFFFF"/>
            </w:tcBorders>
            <w:shd w:val="clear" w:color="000000" w:fill="002060"/>
            <w:noWrap/>
            <w:vAlign w:val="bottom"/>
            <w:hideMark/>
          </w:tcPr>
          <w:p w:rsidR="001C4254" w:rsidRPr="001C4254" w:rsidRDefault="001C4254" w:rsidP="001C4254">
            <w:pPr>
              <w:spacing w:after="0" w:line="240" w:lineRule="auto"/>
              <w:jc w:val="left"/>
              <w:rPr>
                <w:rFonts w:eastAsia="Times New Roman" w:cs="Times New Roman"/>
                <w:color w:val="FFFFFF"/>
                <w:szCs w:val="24"/>
              </w:rPr>
            </w:pPr>
            <w:r w:rsidRPr="001C4254">
              <w:rPr>
                <w:rFonts w:eastAsia="Times New Roman" w:cs="Times New Roman"/>
                <w:color w:val="FFFFFF"/>
                <w:szCs w:val="24"/>
              </w:rPr>
              <w:t>İrlanda</w:t>
            </w:r>
          </w:p>
        </w:tc>
        <w:tc>
          <w:tcPr>
            <w:tcW w:w="132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6,7</w:t>
            </w:r>
          </w:p>
        </w:tc>
        <w:tc>
          <w:tcPr>
            <w:tcW w:w="68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15</w:t>
            </w:r>
          </w:p>
        </w:tc>
      </w:tr>
      <w:tr w:rsidR="001C4254" w:rsidRPr="001C4254" w:rsidTr="001C4254">
        <w:trPr>
          <w:trHeight w:val="315"/>
        </w:trPr>
        <w:tc>
          <w:tcPr>
            <w:tcW w:w="2760" w:type="dxa"/>
            <w:tcBorders>
              <w:top w:val="nil"/>
              <w:left w:val="single" w:sz="4" w:space="0" w:color="FFFFFF"/>
              <w:bottom w:val="single" w:sz="4" w:space="0" w:color="FFFFFF"/>
              <w:right w:val="single" w:sz="4" w:space="0" w:color="FFFFFF"/>
            </w:tcBorders>
            <w:shd w:val="clear" w:color="000000" w:fill="C00000"/>
            <w:noWrap/>
            <w:vAlign w:val="bottom"/>
            <w:hideMark/>
          </w:tcPr>
          <w:p w:rsidR="001C4254" w:rsidRPr="001C4254" w:rsidRDefault="001C4254" w:rsidP="001C4254">
            <w:pPr>
              <w:spacing w:after="0" w:line="240" w:lineRule="auto"/>
              <w:jc w:val="left"/>
              <w:rPr>
                <w:rFonts w:eastAsia="Times New Roman" w:cs="Times New Roman"/>
                <w:color w:val="FFFFFF"/>
                <w:szCs w:val="24"/>
              </w:rPr>
            </w:pPr>
            <w:r w:rsidRPr="001C4254">
              <w:rPr>
                <w:rFonts w:eastAsia="Times New Roman" w:cs="Times New Roman"/>
                <w:color w:val="FFFFFF"/>
                <w:szCs w:val="24"/>
              </w:rPr>
              <w:t>Türkiye</w:t>
            </w:r>
          </w:p>
        </w:tc>
        <w:tc>
          <w:tcPr>
            <w:tcW w:w="132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2,6</w:t>
            </w:r>
          </w:p>
        </w:tc>
        <w:tc>
          <w:tcPr>
            <w:tcW w:w="68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118</w:t>
            </w:r>
          </w:p>
        </w:tc>
      </w:tr>
    </w:tbl>
    <w:p w:rsidR="00694A8E" w:rsidRDefault="006C3067" w:rsidP="00262142">
      <w:pPr>
        <w:rPr>
          <w:szCs w:val="24"/>
        </w:rPr>
      </w:pPr>
      <w:r>
        <w:rPr>
          <w:szCs w:val="24"/>
        </w:rPr>
        <w:t>Kaynak: Dünya Bankası</w:t>
      </w:r>
    </w:p>
    <w:p w:rsidR="00A02167" w:rsidRDefault="00A02167" w:rsidP="00262142">
      <w:pPr>
        <w:rPr>
          <w:szCs w:val="24"/>
        </w:rPr>
      </w:pPr>
      <w:r>
        <w:rPr>
          <w:szCs w:val="24"/>
        </w:rPr>
        <w:t xml:space="preserve">Dünya Bankası’nın tanımladığı gelir gruplarına göre belirlenen grupların büyüme oranları incelendiğinde </w:t>
      </w:r>
      <w:r w:rsidR="00251F44">
        <w:rPr>
          <w:szCs w:val="24"/>
        </w:rPr>
        <w:t>2018</w:t>
      </w:r>
      <w:r w:rsidR="001D3A48">
        <w:rPr>
          <w:szCs w:val="24"/>
        </w:rPr>
        <w:t xml:space="preserve"> yılında </w:t>
      </w:r>
      <w:r w:rsidR="00392440">
        <w:rPr>
          <w:szCs w:val="24"/>
        </w:rPr>
        <w:t>düşük gelirli ülke grubu</w:t>
      </w:r>
      <w:r>
        <w:rPr>
          <w:szCs w:val="24"/>
        </w:rPr>
        <w:t>nun yıllık</w:t>
      </w:r>
      <w:r w:rsidR="00D04558">
        <w:rPr>
          <w:szCs w:val="24"/>
        </w:rPr>
        <w:t xml:space="preserve"> ortalama</w:t>
      </w:r>
      <w:r w:rsidR="001D3A48">
        <w:rPr>
          <w:szCs w:val="24"/>
        </w:rPr>
        <w:t xml:space="preserve"> </w:t>
      </w:r>
      <w:r w:rsidR="00392440">
        <w:rPr>
          <w:szCs w:val="24"/>
        </w:rPr>
        <w:t xml:space="preserve">yüzde </w:t>
      </w:r>
      <w:r w:rsidR="001D3A48">
        <w:rPr>
          <w:szCs w:val="24"/>
        </w:rPr>
        <w:t>5,1, düşük-orta gelir</w:t>
      </w:r>
      <w:r w:rsidR="00392440">
        <w:rPr>
          <w:szCs w:val="24"/>
        </w:rPr>
        <w:t xml:space="preserve"> grubu</w:t>
      </w:r>
      <w:r>
        <w:rPr>
          <w:szCs w:val="24"/>
        </w:rPr>
        <w:t>nun yıllık</w:t>
      </w:r>
      <w:r w:rsidR="00D04558">
        <w:rPr>
          <w:szCs w:val="24"/>
        </w:rPr>
        <w:t xml:space="preserve"> ortalama</w:t>
      </w:r>
      <w:r w:rsidR="00392440">
        <w:rPr>
          <w:szCs w:val="24"/>
        </w:rPr>
        <w:t xml:space="preserve"> yüzde 5,3, üst-orta gelir ülke grubu</w:t>
      </w:r>
      <w:r>
        <w:rPr>
          <w:szCs w:val="24"/>
        </w:rPr>
        <w:t>nun yıllık</w:t>
      </w:r>
      <w:r w:rsidR="00D04558">
        <w:rPr>
          <w:szCs w:val="24"/>
        </w:rPr>
        <w:t xml:space="preserve"> ortalama</w:t>
      </w:r>
      <w:r w:rsidR="00392440">
        <w:rPr>
          <w:szCs w:val="24"/>
        </w:rPr>
        <w:t xml:space="preserve"> yüzde 4,8 </w:t>
      </w:r>
      <w:r>
        <w:rPr>
          <w:szCs w:val="24"/>
        </w:rPr>
        <w:t>ve yüksek gelirli ülke grubunun yıllık ortalama yüzde 2,2,</w:t>
      </w:r>
      <w:r w:rsidR="00392440">
        <w:rPr>
          <w:szCs w:val="24"/>
        </w:rPr>
        <w:t xml:space="preserve">büyüme </w:t>
      </w:r>
      <w:r>
        <w:rPr>
          <w:szCs w:val="24"/>
        </w:rPr>
        <w:t>sergi</w:t>
      </w:r>
      <w:r w:rsidR="00592311">
        <w:rPr>
          <w:szCs w:val="24"/>
        </w:rPr>
        <w:t xml:space="preserve">lediği </w:t>
      </w:r>
      <w:bookmarkStart w:id="0" w:name="_GoBack"/>
      <w:bookmarkEnd w:id="0"/>
      <w:r w:rsidR="00592311">
        <w:rPr>
          <w:szCs w:val="24"/>
        </w:rPr>
        <w:t>görülmüştür</w:t>
      </w:r>
      <w:r w:rsidR="00392440">
        <w:rPr>
          <w:szCs w:val="24"/>
        </w:rPr>
        <w:t xml:space="preserve">. </w:t>
      </w:r>
      <w:r>
        <w:rPr>
          <w:szCs w:val="24"/>
        </w:rPr>
        <w:t>Türkiye ise içinde bulunduğu grup olan üst-orta gelir grubunun ortalama sergilediği büyüme oranından çok daha fazla büyüme sergilediği görülmektedir.</w:t>
      </w:r>
      <w:r w:rsidR="00E02FEC">
        <w:rPr>
          <w:szCs w:val="24"/>
        </w:rPr>
        <w:t xml:space="preserve"> Diğer bir açıdan Dünya Bankası ve IMF(</w:t>
      </w:r>
      <w:r w:rsidR="00E02FEC" w:rsidRPr="00E02FEC">
        <w:rPr>
          <w:szCs w:val="24"/>
        </w:rPr>
        <w:t>International Monetary Fund</w:t>
      </w:r>
      <w:r w:rsidR="00E02FEC">
        <w:rPr>
          <w:szCs w:val="24"/>
        </w:rPr>
        <w:t>) tarafında</w:t>
      </w:r>
      <w:r w:rsidR="00DF6DEC">
        <w:rPr>
          <w:szCs w:val="24"/>
        </w:rPr>
        <w:t>n</w:t>
      </w:r>
      <w:r w:rsidR="00E02FEC">
        <w:rPr>
          <w:szCs w:val="24"/>
        </w:rPr>
        <w:t xml:space="preserve"> ülkeler için</w:t>
      </w:r>
      <w:r w:rsidR="00861667">
        <w:rPr>
          <w:szCs w:val="24"/>
        </w:rPr>
        <w:t xml:space="preserve"> hesapla</w:t>
      </w:r>
      <w:r w:rsidR="00DF6DEC">
        <w:rPr>
          <w:szCs w:val="24"/>
        </w:rPr>
        <w:t>nan</w:t>
      </w:r>
      <w:r w:rsidR="00861667">
        <w:rPr>
          <w:szCs w:val="24"/>
        </w:rPr>
        <w:t xml:space="preserve"> gelecek dönemlere ait büyüme tahminleri incelendiğinde</w:t>
      </w:r>
      <w:r w:rsidR="00DF6DEC">
        <w:rPr>
          <w:szCs w:val="24"/>
        </w:rPr>
        <w:t>,</w:t>
      </w:r>
      <w:r w:rsidR="00861667">
        <w:rPr>
          <w:szCs w:val="24"/>
        </w:rPr>
        <w:t xml:space="preserve"> Türkiye’nin 2018 yılında yüzde 3,5 seviyelerinde büyümesi beklenirken 2019 yılında bu oranında yüzde 0,4 ile 1,6 seviyelerinde seyretmesi beklenmektedir. Daha sonraki yıllarda da 2017 yılına nazaran çok daha düşük büyüme sergilemesi beklenen Türkiye’nin en hızlı büyüyen ekonomiler sıralamasındaki 12’ci sıradaki yerini kaybetmesi beklenebilir.</w:t>
      </w:r>
    </w:p>
    <w:p w:rsidR="00251F44" w:rsidRDefault="00251F44" w:rsidP="00A513CE">
      <w:pPr>
        <w:rPr>
          <w:rFonts w:cs="Times New Roman"/>
          <w:b/>
        </w:rPr>
      </w:pPr>
    </w:p>
    <w:p w:rsidR="001121D6" w:rsidRDefault="001121D6" w:rsidP="00A513CE">
      <w:pPr>
        <w:rPr>
          <w:rFonts w:cs="Times New Roman"/>
          <w:b/>
        </w:rPr>
      </w:pPr>
    </w:p>
    <w:p w:rsidR="00251F44" w:rsidRDefault="00251F44" w:rsidP="00A513CE">
      <w:pPr>
        <w:rPr>
          <w:rFonts w:cs="Times New Roman"/>
          <w:b/>
        </w:rPr>
      </w:pPr>
    </w:p>
    <w:p w:rsidR="00251F44" w:rsidRDefault="00251F44" w:rsidP="00A513CE">
      <w:pPr>
        <w:rPr>
          <w:rFonts w:cs="Times New Roman"/>
          <w:b/>
        </w:rPr>
      </w:pPr>
    </w:p>
    <w:p w:rsidR="00995CA3" w:rsidRPr="00A513CE" w:rsidRDefault="00995CA3" w:rsidP="00A513CE">
      <w:pPr>
        <w:rPr>
          <w:rFonts w:cs="Times New Roman"/>
          <w:b/>
        </w:rPr>
      </w:pPr>
      <w:r w:rsidRPr="00A513CE">
        <w:rPr>
          <w:rFonts w:cs="Times New Roman"/>
          <w:b/>
        </w:rPr>
        <w:lastRenderedPageBreak/>
        <w:t>Tablo 6: Dünya Bankası ve IMF’in Türkiye için gelecek dönem büyüme tahminleri, %</w:t>
      </w:r>
    </w:p>
    <w:p w:rsidR="00A513CE" w:rsidRPr="00643B9F" w:rsidRDefault="004A2EE4" w:rsidP="006977BC">
      <w:pPr>
        <w:rPr>
          <w:rFonts w:cs="Times New Roman"/>
          <w:sz w:val="14"/>
          <w:szCs w:val="14"/>
        </w:rPr>
      </w:pPr>
      <w:r w:rsidRPr="004A2EE4">
        <w:rPr>
          <w:noProof/>
        </w:rPr>
        <w:drawing>
          <wp:inline distT="0" distB="0" distL="0" distR="0" wp14:anchorId="5F4BF476" wp14:editId="51BD1DC4">
            <wp:extent cx="1838325" cy="1343025"/>
            <wp:effectExtent l="0" t="0" r="9525" b="952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8325" cy="1343025"/>
                    </a:xfrm>
                    <a:prstGeom prst="rect">
                      <a:avLst/>
                    </a:prstGeom>
                    <a:noFill/>
                    <a:ln>
                      <a:noFill/>
                    </a:ln>
                  </pic:spPr>
                </pic:pic>
              </a:graphicData>
            </a:graphic>
          </wp:inline>
        </w:drawing>
      </w:r>
    </w:p>
    <w:p w:rsidR="00030D4B" w:rsidRDefault="00C62C37" w:rsidP="006977BC">
      <w:pPr>
        <w:rPr>
          <w:sz w:val="28"/>
        </w:rPr>
      </w:pPr>
      <w:r>
        <w:t xml:space="preserve"> </w:t>
      </w:r>
      <w:r w:rsidR="00A513CE">
        <w:rPr>
          <w:b/>
          <w:sz w:val="28"/>
        </w:rPr>
        <w:t>Ek:</w:t>
      </w:r>
      <w:r w:rsidR="0026381F" w:rsidRPr="00D304BD">
        <w:rPr>
          <w:b/>
          <w:sz w:val="28"/>
        </w:rPr>
        <w:t xml:space="preserve"> İllerin GSYH değerleri, 2017</w:t>
      </w:r>
    </w:p>
    <w:p w:rsidR="00EA7B58" w:rsidRPr="00245C55" w:rsidRDefault="00710FA9" w:rsidP="00EA7B58">
      <w:pPr>
        <w:rPr>
          <w:rFonts w:cs="Times New Roman"/>
          <w:sz w:val="14"/>
          <w:szCs w:val="14"/>
        </w:rPr>
      </w:pPr>
      <w:r w:rsidRPr="00710FA9">
        <w:rPr>
          <w:rFonts w:cs="Times New Roman"/>
          <w:noProof/>
          <w:sz w:val="14"/>
          <w:szCs w:val="14"/>
        </w:rPr>
        <w:drawing>
          <wp:inline distT="0" distB="0" distL="0" distR="0" wp14:anchorId="21FFB91C" wp14:editId="5CA8E838">
            <wp:extent cx="5972810" cy="3085465"/>
            <wp:effectExtent l="0" t="0" r="8890" b="635"/>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13"/>
                    <a:stretch>
                      <a:fillRect/>
                    </a:stretch>
                  </pic:blipFill>
                  <pic:spPr>
                    <a:xfrm>
                      <a:off x="0" y="0"/>
                      <a:ext cx="5972810" cy="3085465"/>
                    </a:xfrm>
                    <a:prstGeom prst="rect">
                      <a:avLst/>
                    </a:prstGeom>
                  </pic:spPr>
                </pic:pic>
              </a:graphicData>
            </a:graphic>
          </wp:inline>
        </w:drawing>
      </w:r>
    </w:p>
    <w:sectPr w:rsidR="00EA7B58" w:rsidRPr="00245C55" w:rsidSect="00FE7E3F">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4A4" w:rsidRDefault="008C34A4" w:rsidP="00ED7DDE">
      <w:pPr>
        <w:spacing w:after="0" w:line="240" w:lineRule="auto"/>
      </w:pPr>
      <w:r>
        <w:separator/>
      </w:r>
    </w:p>
  </w:endnote>
  <w:endnote w:type="continuationSeparator" w:id="0">
    <w:p w:rsidR="008C34A4" w:rsidRDefault="008C34A4" w:rsidP="00ED7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336181"/>
      <w:docPartObj>
        <w:docPartGallery w:val="Page Numbers (Bottom of Page)"/>
        <w:docPartUnique/>
      </w:docPartObj>
    </w:sdtPr>
    <w:sdtContent>
      <w:p w:rsidR="003411C1" w:rsidRDefault="003411C1">
        <w:pPr>
          <w:pStyle w:val="AltBilgi"/>
          <w:jc w:val="right"/>
        </w:pPr>
        <w:r>
          <w:fldChar w:fldCharType="begin"/>
        </w:r>
        <w:r>
          <w:instrText>PAGE   \* MERGEFORMAT</w:instrText>
        </w:r>
        <w:r>
          <w:fldChar w:fldCharType="separate"/>
        </w:r>
        <w:r w:rsidR="00431420">
          <w:rPr>
            <w:noProof/>
          </w:rPr>
          <w:t>1</w:t>
        </w:r>
        <w:r>
          <w:fldChar w:fldCharType="end"/>
        </w:r>
      </w:p>
    </w:sdtContent>
  </w:sdt>
  <w:p w:rsidR="003411C1" w:rsidRDefault="003411C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4A4" w:rsidRDefault="008C34A4" w:rsidP="00ED7DDE">
      <w:pPr>
        <w:spacing w:after="0" w:line="240" w:lineRule="auto"/>
      </w:pPr>
      <w:r>
        <w:separator/>
      </w:r>
    </w:p>
  </w:footnote>
  <w:footnote w:type="continuationSeparator" w:id="0">
    <w:p w:rsidR="008C34A4" w:rsidRDefault="008C34A4" w:rsidP="00ED7DDE">
      <w:pPr>
        <w:spacing w:after="0" w:line="240" w:lineRule="auto"/>
      </w:pPr>
      <w:r>
        <w:continuationSeparator/>
      </w:r>
    </w:p>
  </w:footnote>
  <w:footnote w:id="1">
    <w:p w:rsidR="003411C1" w:rsidRDefault="003411C1">
      <w:pPr>
        <w:pStyle w:val="DipnotMetni"/>
      </w:pPr>
      <w:r>
        <w:rPr>
          <w:rStyle w:val="DipnotBavurusu"/>
        </w:rPr>
        <w:footnoteRef/>
      </w:r>
      <w:r>
        <w:t xml:space="preserve"> </w:t>
      </w:r>
      <w:r w:rsidRPr="00B17A67">
        <w:t>TÜİK Dönemsel Gayrisafi Yurt İçi Hasıla / hesaplama kuralları</w:t>
      </w:r>
    </w:p>
  </w:footnote>
  <w:footnote w:id="2">
    <w:p w:rsidR="003411C1" w:rsidRDefault="003411C1">
      <w:pPr>
        <w:pStyle w:val="DipnotMetni"/>
      </w:pPr>
      <w:r>
        <w:rPr>
          <w:rStyle w:val="DipnotBavurusu"/>
        </w:rPr>
        <w:footnoteRef/>
      </w:r>
      <w:r>
        <w:t xml:space="preserve"> A.g.e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5C2"/>
    <w:multiLevelType w:val="hybridMultilevel"/>
    <w:tmpl w:val="A8FEA2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QwszAxNDKxMDK2NDRX0lEKTi0uzszPAykwNK4FAM+4Cg4tAAAA"/>
  </w:docVars>
  <w:rsids>
    <w:rsidRoot w:val="00D23355"/>
    <w:rsid w:val="000136C0"/>
    <w:rsid w:val="00026001"/>
    <w:rsid w:val="00030D4B"/>
    <w:rsid w:val="00031D26"/>
    <w:rsid w:val="00053223"/>
    <w:rsid w:val="00063CC5"/>
    <w:rsid w:val="000701FD"/>
    <w:rsid w:val="0008648D"/>
    <w:rsid w:val="00086D5E"/>
    <w:rsid w:val="0009078E"/>
    <w:rsid w:val="000924D3"/>
    <w:rsid w:val="00097106"/>
    <w:rsid w:val="000A4377"/>
    <w:rsid w:val="000B41B8"/>
    <w:rsid w:val="000B7D47"/>
    <w:rsid w:val="000C5BCA"/>
    <w:rsid w:val="000C66EB"/>
    <w:rsid w:val="000D18BE"/>
    <w:rsid w:val="000D3EEA"/>
    <w:rsid w:val="000D5268"/>
    <w:rsid w:val="000D5422"/>
    <w:rsid w:val="000F161B"/>
    <w:rsid w:val="000F1722"/>
    <w:rsid w:val="00107B31"/>
    <w:rsid w:val="0011182A"/>
    <w:rsid w:val="001121D6"/>
    <w:rsid w:val="00113AD5"/>
    <w:rsid w:val="00115460"/>
    <w:rsid w:val="001217A7"/>
    <w:rsid w:val="00126611"/>
    <w:rsid w:val="00126DEB"/>
    <w:rsid w:val="00134C18"/>
    <w:rsid w:val="00141F4D"/>
    <w:rsid w:val="00142EA4"/>
    <w:rsid w:val="00145FFA"/>
    <w:rsid w:val="001461AF"/>
    <w:rsid w:val="001524B1"/>
    <w:rsid w:val="00154C8B"/>
    <w:rsid w:val="0016246E"/>
    <w:rsid w:val="00183446"/>
    <w:rsid w:val="0018748C"/>
    <w:rsid w:val="001960BF"/>
    <w:rsid w:val="001A01FB"/>
    <w:rsid w:val="001A67A3"/>
    <w:rsid w:val="001B2572"/>
    <w:rsid w:val="001B28A5"/>
    <w:rsid w:val="001C20F2"/>
    <w:rsid w:val="001C4254"/>
    <w:rsid w:val="001D3A48"/>
    <w:rsid w:val="001D7ADC"/>
    <w:rsid w:val="001E0DF3"/>
    <w:rsid w:val="001E191D"/>
    <w:rsid w:val="001E5A63"/>
    <w:rsid w:val="001F7633"/>
    <w:rsid w:val="002017DF"/>
    <w:rsid w:val="0020426A"/>
    <w:rsid w:val="00212CD0"/>
    <w:rsid w:val="002142B6"/>
    <w:rsid w:val="00216A83"/>
    <w:rsid w:val="0022013C"/>
    <w:rsid w:val="0022581D"/>
    <w:rsid w:val="00230A83"/>
    <w:rsid w:val="0023187F"/>
    <w:rsid w:val="0023247C"/>
    <w:rsid w:val="00233663"/>
    <w:rsid w:val="00233BD5"/>
    <w:rsid w:val="0024405A"/>
    <w:rsid w:val="002442F9"/>
    <w:rsid w:val="00245C55"/>
    <w:rsid w:val="00251F44"/>
    <w:rsid w:val="0025778F"/>
    <w:rsid w:val="002609F6"/>
    <w:rsid w:val="00262142"/>
    <w:rsid w:val="0026381F"/>
    <w:rsid w:val="002648B4"/>
    <w:rsid w:val="00265EB0"/>
    <w:rsid w:val="00265F45"/>
    <w:rsid w:val="00267345"/>
    <w:rsid w:val="0027482A"/>
    <w:rsid w:val="002777CA"/>
    <w:rsid w:val="00277E72"/>
    <w:rsid w:val="00294167"/>
    <w:rsid w:val="002B6C47"/>
    <w:rsid w:val="002B71EE"/>
    <w:rsid w:val="002D1A97"/>
    <w:rsid w:val="002D36B1"/>
    <w:rsid w:val="002D3E19"/>
    <w:rsid w:val="002D4A0C"/>
    <w:rsid w:val="002D595C"/>
    <w:rsid w:val="002E43A7"/>
    <w:rsid w:val="002E78D2"/>
    <w:rsid w:val="002F35DF"/>
    <w:rsid w:val="002F402C"/>
    <w:rsid w:val="002F7E18"/>
    <w:rsid w:val="00307628"/>
    <w:rsid w:val="003116B9"/>
    <w:rsid w:val="003216E0"/>
    <w:rsid w:val="0032215F"/>
    <w:rsid w:val="00325D36"/>
    <w:rsid w:val="00327F07"/>
    <w:rsid w:val="003411C1"/>
    <w:rsid w:val="00342B2E"/>
    <w:rsid w:val="00347F73"/>
    <w:rsid w:val="00353B1A"/>
    <w:rsid w:val="00356EC9"/>
    <w:rsid w:val="00356F18"/>
    <w:rsid w:val="00357954"/>
    <w:rsid w:val="003641B3"/>
    <w:rsid w:val="00381AE7"/>
    <w:rsid w:val="00386AAB"/>
    <w:rsid w:val="00392440"/>
    <w:rsid w:val="00397AC6"/>
    <w:rsid w:val="003A57CB"/>
    <w:rsid w:val="003A5B07"/>
    <w:rsid w:val="003B7069"/>
    <w:rsid w:val="003C5DE5"/>
    <w:rsid w:val="003D35A9"/>
    <w:rsid w:val="003D428A"/>
    <w:rsid w:val="003D57E9"/>
    <w:rsid w:val="003E4424"/>
    <w:rsid w:val="003E4EC1"/>
    <w:rsid w:val="003E52EB"/>
    <w:rsid w:val="003E695D"/>
    <w:rsid w:val="003E7C4A"/>
    <w:rsid w:val="003F0425"/>
    <w:rsid w:val="003F3021"/>
    <w:rsid w:val="004008C9"/>
    <w:rsid w:val="00401104"/>
    <w:rsid w:val="00427EB8"/>
    <w:rsid w:val="004309D9"/>
    <w:rsid w:val="00431420"/>
    <w:rsid w:val="00432DF5"/>
    <w:rsid w:val="00434062"/>
    <w:rsid w:val="004361F2"/>
    <w:rsid w:val="00445DB0"/>
    <w:rsid w:val="00450880"/>
    <w:rsid w:val="0045500E"/>
    <w:rsid w:val="00455DBF"/>
    <w:rsid w:val="004615AC"/>
    <w:rsid w:val="00462E2E"/>
    <w:rsid w:val="00464D53"/>
    <w:rsid w:val="0046567B"/>
    <w:rsid w:val="00467082"/>
    <w:rsid w:val="0047263E"/>
    <w:rsid w:val="00474FF2"/>
    <w:rsid w:val="00482DA8"/>
    <w:rsid w:val="0048359C"/>
    <w:rsid w:val="004A2EE4"/>
    <w:rsid w:val="004B4592"/>
    <w:rsid w:val="004B7732"/>
    <w:rsid w:val="004B77BF"/>
    <w:rsid w:val="004C636E"/>
    <w:rsid w:val="004D17E9"/>
    <w:rsid w:val="004D4775"/>
    <w:rsid w:val="004D756C"/>
    <w:rsid w:val="004E005E"/>
    <w:rsid w:val="004E2C9B"/>
    <w:rsid w:val="00500648"/>
    <w:rsid w:val="005013AB"/>
    <w:rsid w:val="00502A9D"/>
    <w:rsid w:val="00510282"/>
    <w:rsid w:val="00510FAE"/>
    <w:rsid w:val="00526414"/>
    <w:rsid w:val="005274CB"/>
    <w:rsid w:val="00530076"/>
    <w:rsid w:val="00530BA9"/>
    <w:rsid w:val="005405F5"/>
    <w:rsid w:val="0056007F"/>
    <w:rsid w:val="00560CA6"/>
    <w:rsid w:val="005616D3"/>
    <w:rsid w:val="00564E65"/>
    <w:rsid w:val="00567194"/>
    <w:rsid w:val="0057000F"/>
    <w:rsid w:val="0057123A"/>
    <w:rsid w:val="00574C38"/>
    <w:rsid w:val="0057695D"/>
    <w:rsid w:val="00585A31"/>
    <w:rsid w:val="00592311"/>
    <w:rsid w:val="0059488F"/>
    <w:rsid w:val="0059793D"/>
    <w:rsid w:val="005A0465"/>
    <w:rsid w:val="005A5D15"/>
    <w:rsid w:val="005B586F"/>
    <w:rsid w:val="005C1111"/>
    <w:rsid w:val="005C3DCF"/>
    <w:rsid w:val="005C53F8"/>
    <w:rsid w:val="005C5F51"/>
    <w:rsid w:val="005D1B77"/>
    <w:rsid w:val="005D2846"/>
    <w:rsid w:val="005E647C"/>
    <w:rsid w:val="005F18C6"/>
    <w:rsid w:val="006020BD"/>
    <w:rsid w:val="00602551"/>
    <w:rsid w:val="006071B6"/>
    <w:rsid w:val="0061300A"/>
    <w:rsid w:val="006231F0"/>
    <w:rsid w:val="006241BA"/>
    <w:rsid w:val="0063416A"/>
    <w:rsid w:val="0063571A"/>
    <w:rsid w:val="00641021"/>
    <w:rsid w:val="00643B9F"/>
    <w:rsid w:val="006443EB"/>
    <w:rsid w:val="00646C0C"/>
    <w:rsid w:val="00650344"/>
    <w:rsid w:val="00655094"/>
    <w:rsid w:val="006558B0"/>
    <w:rsid w:val="00655E4A"/>
    <w:rsid w:val="00676DBB"/>
    <w:rsid w:val="006815FD"/>
    <w:rsid w:val="006858CA"/>
    <w:rsid w:val="00686008"/>
    <w:rsid w:val="00694A8E"/>
    <w:rsid w:val="006957A2"/>
    <w:rsid w:val="006977BC"/>
    <w:rsid w:val="00697D3C"/>
    <w:rsid w:val="006C0BDD"/>
    <w:rsid w:val="006C15B8"/>
    <w:rsid w:val="006C3067"/>
    <w:rsid w:val="006C51FC"/>
    <w:rsid w:val="006C6552"/>
    <w:rsid w:val="006C7C68"/>
    <w:rsid w:val="006D23EC"/>
    <w:rsid w:val="006D41B5"/>
    <w:rsid w:val="006D597F"/>
    <w:rsid w:val="006D779C"/>
    <w:rsid w:val="006D7EBB"/>
    <w:rsid w:val="006E2A28"/>
    <w:rsid w:val="006E2E1F"/>
    <w:rsid w:val="006E50E2"/>
    <w:rsid w:val="006E656F"/>
    <w:rsid w:val="006F1239"/>
    <w:rsid w:val="00700C87"/>
    <w:rsid w:val="0070186C"/>
    <w:rsid w:val="00701FB6"/>
    <w:rsid w:val="00702924"/>
    <w:rsid w:val="0070700B"/>
    <w:rsid w:val="00710FA9"/>
    <w:rsid w:val="00714580"/>
    <w:rsid w:val="00717A88"/>
    <w:rsid w:val="007244A7"/>
    <w:rsid w:val="00731B2B"/>
    <w:rsid w:val="00735E1C"/>
    <w:rsid w:val="00740FF8"/>
    <w:rsid w:val="007441EB"/>
    <w:rsid w:val="00755EFC"/>
    <w:rsid w:val="007736BE"/>
    <w:rsid w:val="00773BC6"/>
    <w:rsid w:val="00786CD3"/>
    <w:rsid w:val="00791F58"/>
    <w:rsid w:val="007931E6"/>
    <w:rsid w:val="00793755"/>
    <w:rsid w:val="00794D0B"/>
    <w:rsid w:val="00797EBE"/>
    <w:rsid w:val="007A581F"/>
    <w:rsid w:val="007A6BF3"/>
    <w:rsid w:val="007D06B9"/>
    <w:rsid w:val="007D1860"/>
    <w:rsid w:val="007D2C97"/>
    <w:rsid w:val="007D46F2"/>
    <w:rsid w:val="007E017B"/>
    <w:rsid w:val="007E2116"/>
    <w:rsid w:val="007E2227"/>
    <w:rsid w:val="007E3DB3"/>
    <w:rsid w:val="007E552F"/>
    <w:rsid w:val="007E7D6C"/>
    <w:rsid w:val="007F0476"/>
    <w:rsid w:val="00817B43"/>
    <w:rsid w:val="00817D01"/>
    <w:rsid w:val="008269E0"/>
    <w:rsid w:val="00832261"/>
    <w:rsid w:val="00833767"/>
    <w:rsid w:val="00846F82"/>
    <w:rsid w:val="0085076A"/>
    <w:rsid w:val="00851D1C"/>
    <w:rsid w:val="00852C13"/>
    <w:rsid w:val="00853A88"/>
    <w:rsid w:val="00861667"/>
    <w:rsid w:val="00866FDE"/>
    <w:rsid w:val="00870185"/>
    <w:rsid w:val="008729E3"/>
    <w:rsid w:val="00886297"/>
    <w:rsid w:val="00897980"/>
    <w:rsid w:val="008A3135"/>
    <w:rsid w:val="008A4732"/>
    <w:rsid w:val="008A71D6"/>
    <w:rsid w:val="008B63DE"/>
    <w:rsid w:val="008C21F1"/>
    <w:rsid w:val="008C2C15"/>
    <w:rsid w:val="008C34A4"/>
    <w:rsid w:val="008D1077"/>
    <w:rsid w:val="008D3436"/>
    <w:rsid w:val="008D57AE"/>
    <w:rsid w:val="008F1B9E"/>
    <w:rsid w:val="008F340F"/>
    <w:rsid w:val="008F4366"/>
    <w:rsid w:val="0090382A"/>
    <w:rsid w:val="00911C20"/>
    <w:rsid w:val="0091250C"/>
    <w:rsid w:val="00922CFC"/>
    <w:rsid w:val="00926F30"/>
    <w:rsid w:val="0093069E"/>
    <w:rsid w:val="00932AE2"/>
    <w:rsid w:val="00937C12"/>
    <w:rsid w:val="0095227F"/>
    <w:rsid w:val="00956636"/>
    <w:rsid w:val="00962806"/>
    <w:rsid w:val="00964E82"/>
    <w:rsid w:val="00966127"/>
    <w:rsid w:val="009738DE"/>
    <w:rsid w:val="00975097"/>
    <w:rsid w:val="00976301"/>
    <w:rsid w:val="009834B5"/>
    <w:rsid w:val="00985D29"/>
    <w:rsid w:val="00985F68"/>
    <w:rsid w:val="009866B5"/>
    <w:rsid w:val="009869AF"/>
    <w:rsid w:val="009915B9"/>
    <w:rsid w:val="00995CA3"/>
    <w:rsid w:val="009A166A"/>
    <w:rsid w:val="009A5E22"/>
    <w:rsid w:val="009A6ED0"/>
    <w:rsid w:val="009A7ECD"/>
    <w:rsid w:val="009B50C4"/>
    <w:rsid w:val="009C022D"/>
    <w:rsid w:val="009C2C82"/>
    <w:rsid w:val="009D072E"/>
    <w:rsid w:val="009D0C49"/>
    <w:rsid w:val="009D0E3A"/>
    <w:rsid w:val="009F488C"/>
    <w:rsid w:val="009F54F1"/>
    <w:rsid w:val="00A00041"/>
    <w:rsid w:val="00A00E7D"/>
    <w:rsid w:val="00A01E60"/>
    <w:rsid w:val="00A02167"/>
    <w:rsid w:val="00A05536"/>
    <w:rsid w:val="00A126EA"/>
    <w:rsid w:val="00A21989"/>
    <w:rsid w:val="00A347FE"/>
    <w:rsid w:val="00A40EA2"/>
    <w:rsid w:val="00A430B2"/>
    <w:rsid w:val="00A44E9E"/>
    <w:rsid w:val="00A4796F"/>
    <w:rsid w:val="00A513CE"/>
    <w:rsid w:val="00A57276"/>
    <w:rsid w:val="00A61A70"/>
    <w:rsid w:val="00A70671"/>
    <w:rsid w:val="00A77365"/>
    <w:rsid w:val="00A817A0"/>
    <w:rsid w:val="00A93938"/>
    <w:rsid w:val="00A978ED"/>
    <w:rsid w:val="00AA141B"/>
    <w:rsid w:val="00AA5D16"/>
    <w:rsid w:val="00AB1161"/>
    <w:rsid w:val="00AB2EBB"/>
    <w:rsid w:val="00AC18DE"/>
    <w:rsid w:val="00AC2237"/>
    <w:rsid w:val="00AD2065"/>
    <w:rsid w:val="00AD49CF"/>
    <w:rsid w:val="00AE466F"/>
    <w:rsid w:val="00AF48C2"/>
    <w:rsid w:val="00AF5EA7"/>
    <w:rsid w:val="00B00458"/>
    <w:rsid w:val="00B0459A"/>
    <w:rsid w:val="00B0675B"/>
    <w:rsid w:val="00B177CB"/>
    <w:rsid w:val="00B17A67"/>
    <w:rsid w:val="00B40175"/>
    <w:rsid w:val="00B40511"/>
    <w:rsid w:val="00B421C6"/>
    <w:rsid w:val="00B44532"/>
    <w:rsid w:val="00B47D88"/>
    <w:rsid w:val="00B52A68"/>
    <w:rsid w:val="00B54C77"/>
    <w:rsid w:val="00B60DF7"/>
    <w:rsid w:val="00B621A2"/>
    <w:rsid w:val="00B6602D"/>
    <w:rsid w:val="00B679AB"/>
    <w:rsid w:val="00B71027"/>
    <w:rsid w:val="00B745FB"/>
    <w:rsid w:val="00B80CFF"/>
    <w:rsid w:val="00B8240D"/>
    <w:rsid w:val="00B82B15"/>
    <w:rsid w:val="00B922F7"/>
    <w:rsid w:val="00B95909"/>
    <w:rsid w:val="00B973FC"/>
    <w:rsid w:val="00B974A8"/>
    <w:rsid w:val="00BA3A4A"/>
    <w:rsid w:val="00BA43E2"/>
    <w:rsid w:val="00BA63C2"/>
    <w:rsid w:val="00BB2B8A"/>
    <w:rsid w:val="00BB40C9"/>
    <w:rsid w:val="00BB60EF"/>
    <w:rsid w:val="00BC0455"/>
    <w:rsid w:val="00BC20F8"/>
    <w:rsid w:val="00BC294E"/>
    <w:rsid w:val="00BC5BD4"/>
    <w:rsid w:val="00BC5F10"/>
    <w:rsid w:val="00BD2645"/>
    <w:rsid w:val="00BD2C84"/>
    <w:rsid w:val="00BD55B1"/>
    <w:rsid w:val="00BE2889"/>
    <w:rsid w:val="00BE5D06"/>
    <w:rsid w:val="00C02BC3"/>
    <w:rsid w:val="00C03C5B"/>
    <w:rsid w:val="00C0420D"/>
    <w:rsid w:val="00C05F0D"/>
    <w:rsid w:val="00C11BA5"/>
    <w:rsid w:val="00C144CC"/>
    <w:rsid w:val="00C210BB"/>
    <w:rsid w:val="00C21D8B"/>
    <w:rsid w:val="00C23FFF"/>
    <w:rsid w:val="00C3018B"/>
    <w:rsid w:val="00C3586E"/>
    <w:rsid w:val="00C35D32"/>
    <w:rsid w:val="00C3740F"/>
    <w:rsid w:val="00C47A5C"/>
    <w:rsid w:val="00C62C37"/>
    <w:rsid w:val="00C730E3"/>
    <w:rsid w:val="00C7367E"/>
    <w:rsid w:val="00C813D3"/>
    <w:rsid w:val="00C81D76"/>
    <w:rsid w:val="00C833AE"/>
    <w:rsid w:val="00C8387D"/>
    <w:rsid w:val="00C84453"/>
    <w:rsid w:val="00C85E24"/>
    <w:rsid w:val="00C86D2C"/>
    <w:rsid w:val="00C878DD"/>
    <w:rsid w:val="00C943E5"/>
    <w:rsid w:val="00C97976"/>
    <w:rsid w:val="00C97D83"/>
    <w:rsid w:val="00CA0CAC"/>
    <w:rsid w:val="00CA2F5B"/>
    <w:rsid w:val="00CB0BF2"/>
    <w:rsid w:val="00CB1068"/>
    <w:rsid w:val="00CB17F4"/>
    <w:rsid w:val="00CC108E"/>
    <w:rsid w:val="00CC4B31"/>
    <w:rsid w:val="00CC7D5F"/>
    <w:rsid w:val="00CF5A51"/>
    <w:rsid w:val="00CF741D"/>
    <w:rsid w:val="00D04558"/>
    <w:rsid w:val="00D07B5E"/>
    <w:rsid w:val="00D1187C"/>
    <w:rsid w:val="00D11899"/>
    <w:rsid w:val="00D2299D"/>
    <w:rsid w:val="00D23355"/>
    <w:rsid w:val="00D23AE2"/>
    <w:rsid w:val="00D304BD"/>
    <w:rsid w:val="00D30502"/>
    <w:rsid w:val="00D30D71"/>
    <w:rsid w:val="00D3657E"/>
    <w:rsid w:val="00D40A8B"/>
    <w:rsid w:val="00D40E99"/>
    <w:rsid w:val="00D431D4"/>
    <w:rsid w:val="00D4536B"/>
    <w:rsid w:val="00D500F0"/>
    <w:rsid w:val="00D66C98"/>
    <w:rsid w:val="00D7287C"/>
    <w:rsid w:val="00D77FD3"/>
    <w:rsid w:val="00D86CAD"/>
    <w:rsid w:val="00D95A42"/>
    <w:rsid w:val="00DA24B7"/>
    <w:rsid w:val="00DA4C63"/>
    <w:rsid w:val="00DB1B7B"/>
    <w:rsid w:val="00DB3D96"/>
    <w:rsid w:val="00DB591C"/>
    <w:rsid w:val="00DB64C1"/>
    <w:rsid w:val="00DC2955"/>
    <w:rsid w:val="00DC5FDC"/>
    <w:rsid w:val="00DC6D62"/>
    <w:rsid w:val="00DC6D72"/>
    <w:rsid w:val="00DD6A67"/>
    <w:rsid w:val="00DE7934"/>
    <w:rsid w:val="00DF6DEC"/>
    <w:rsid w:val="00DF701F"/>
    <w:rsid w:val="00E01316"/>
    <w:rsid w:val="00E0263F"/>
    <w:rsid w:val="00E02FD6"/>
    <w:rsid w:val="00E02FEC"/>
    <w:rsid w:val="00E03975"/>
    <w:rsid w:val="00E16E22"/>
    <w:rsid w:val="00E20DFD"/>
    <w:rsid w:val="00E2203C"/>
    <w:rsid w:val="00E30574"/>
    <w:rsid w:val="00E33514"/>
    <w:rsid w:val="00E43E10"/>
    <w:rsid w:val="00E50C57"/>
    <w:rsid w:val="00E5243F"/>
    <w:rsid w:val="00E54721"/>
    <w:rsid w:val="00E64966"/>
    <w:rsid w:val="00E65D11"/>
    <w:rsid w:val="00E7092A"/>
    <w:rsid w:val="00E718D3"/>
    <w:rsid w:val="00E73DE8"/>
    <w:rsid w:val="00E75F8D"/>
    <w:rsid w:val="00E86810"/>
    <w:rsid w:val="00E91F89"/>
    <w:rsid w:val="00E97112"/>
    <w:rsid w:val="00EA7B58"/>
    <w:rsid w:val="00EB0300"/>
    <w:rsid w:val="00EB4703"/>
    <w:rsid w:val="00EC183C"/>
    <w:rsid w:val="00EC3F2A"/>
    <w:rsid w:val="00EC540A"/>
    <w:rsid w:val="00EC79B6"/>
    <w:rsid w:val="00ED7DDE"/>
    <w:rsid w:val="00EE39CF"/>
    <w:rsid w:val="00EE4EB1"/>
    <w:rsid w:val="00EE58FC"/>
    <w:rsid w:val="00EF1A41"/>
    <w:rsid w:val="00EF3B63"/>
    <w:rsid w:val="00EF4E45"/>
    <w:rsid w:val="00F01DB4"/>
    <w:rsid w:val="00F0346B"/>
    <w:rsid w:val="00F044E8"/>
    <w:rsid w:val="00F04AAD"/>
    <w:rsid w:val="00F171CA"/>
    <w:rsid w:val="00F21764"/>
    <w:rsid w:val="00F2658C"/>
    <w:rsid w:val="00F36C42"/>
    <w:rsid w:val="00F378B3"/>
    <w:rsid w:val="00F40113"/>
    <w:rsid w:val="00F412AD"/>
    <w:rsid w:val="00F52B20"/>
    <w:rsid w:val="00F6200C"/>
    <w:rsid w:val="00F66E97"/>
    <w:rsid w:val="00F72077"/>
    <w:rsid w:val="00F7264C"/>
    <w:rsid w:val="00F90F4B"/>
    <w:rsid w:val="00F92E63"/>
    <w:rsid w:val="00F95609"/>
    <w:rsid w:val="00F97D40"/>
    <w:rsid w:val="00FA5880"/>
    <w:rsid w:val="00FC420D"/>
    <w:rsid w:val="00FC5B55"/>
    <w:rsid w:val="00FD051F"/>
    <w:rsid w:val="00FD6636"/>
    <w:rsid w:val="00FD7EF6"/>
    <w:rsid w:val="00FE0EB4"/>
    <w:rsid w:val="00FE2984"/>
    <w:rsid w:val="00FE79F3"/>
    <w:rsid w:val="00FE7E3F"/>
    <w:rsid w:val="00FF004C"/>
    <w:rsid w:val="00FF5081"/>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CB1CD1"/>
  <w15:docId w15:val="{48BBECF2-01FC-4EBC-B8A7-3C3E3058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C18"/>
    <w:pPr>
      <w:jc w:val="both"/>
    </w:pPr>
    <w:rPr>
      <w:rFonts w:ascii="Times New Roman" w:eastAsiaTheme="minorEastAsia" w:hAnsi="Times New Roman"/>
      <w:sz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2-Vurgu11">
    <w:name w:val="Orta Gölgeleme 2 - Vurgu 11"/>
    <w:basedOn w:val="NormalTablo"/>
    <w:uiPriority w:val="64"/>
    <w:rsid w:val="00AB2E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A055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A055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rresim">
    <w:name w:val="rresim"/>
    <w:basedOn w:val="Normal"/>
    <w:link w:val="rresimChar"/>
    <w:qFormat/>
    <w:rsid w:val="00870185"/>
    <w:pPr>
      <w:keepNext/>
    </w:pPr>
    <w:rPr>
      <w:b/>
    </w:rPr>
  </w:style>
  <w:style w:type="character" w:customStyle="1" w:styleId="rresimChar">
    <w:name w:val="rresim Char"/>
    <w:basedOn w:val="VarsaylanParagrafYazTipi"/>
    <w:link w:val="rresim"/>
    <w:rsid w:val="00870185"/>
    <w:rPr>
      <w:rFonts w:ascii="Times New Roman" w:eastAsiaTheme="minorEastAsia" w:hAnsi="Times New Roman"/>
      <w:b/>
      <w:sz w:val="24"/>
      <w:lang w:val="tr-TR" w:eastAsia="tr-TR"/>
    </w:rPr>
  </w:style>
  <w:style w:type="paragraph" w:styleId="DipnotMetni">
    <w:name w:val="footnote text"/>
    <w:basedOn w:val="Normal"/>
    <w:link w:val="DipnotMetniChar"/>
    <w:uiPriority w:val="99"/>
    <w:semiHidden/>
    <w:unhideWhenUsed/>
    <w:rsid w:val="00ED7DD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D7DDE"/>
    <w:rPr>
      <w:rFonts w:ascii="Times New Roman" w:eastAsiaTheme="minorEastAsia" w:hAnsi="Times New Roman"/>
      <w:sz w:val="20"/>
      <w:szCs w:val="20"/>
      <w:lang w:val="tr-TR" w:eastAsia="tr-TR"/>
    </w:rPr>
  </w:style>
  <w:style w:type="character" w:styleId="DipnotBavurusu">
    <w:name w:val="footnote reference"/>
    <w:basedOn w:val="VarsaylanParagrafYazTipi"/>
    <w:uiPriority w:val="99"/>
    <w:semiHidden/>
    <w:unhideWhenUsed/>
    <w:rsid w:val="00ED7DDE"/>
    <w:rPr>
      <w:vertAlign w:val="superscript"/>
    </w:rPr>
  </w:style>
  <w:style w:type="character" w:styleId="AklamaBavurusu">
    <w:name w:val="annotation reference"/>
    <w:basedOn w:val="VarsaylanParagrafYazTipi"/>
    <w:uiPriority w:val="99"/>
    <w:semiHidden/>
    <w:unhideWhenUsed/>
    <w:rsid w:val="00F378B3"/>
    <w:rPr>
      <w:sz w:val="16"/>
      <w:szCs w:val="16"/>
    </w:rPr>
  </w:style>
  <w:style w:type="paragraph" w:styleId="AklamaMetni">
    <w:name w:val="annotation text"/>
    <w:basedOn w:val="Normal"/>
    <w:link w:val="AklamaMetniChar"/>
    <w:uiPriority w:val="99"/>
    <w:semiHidden/>
    <w:unhideWhenUsed/>
    <w:rsid w:val="00F378B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378B3"/>
    <w:rPr>
      <w:rFonts w:ascii="Times New Roman" w:eastAsiaTheme="minorEastAsia" w:hAnsi="Times New Roman"/>
      <w:sz w:val="20"/>
      <w:szCs w:val="20"/>
      <w:lang w:val="tr-TR" w:eastAsia="tr-TR"/>
    </w:rPr>
  </w:style>
  <w:style w:type="paragraph" w:styleId="AklamaKonusu">
    <w:name w:val="annotation subject"/>
    <w:basedOn w:val="AklamaMetni"/>
    <w:next w:val="AklamaMetni"/>
    <w:link w:val="AklamaKonusuChar"/>
    <w:uiPriority w:val="99"/>
    <w:semiHidden/>
    <w:unhideWhenUsed/>
    <w:rsid w:val="00F378B3"/>
    <w:rPr>
      <w:b/>
      <w:bCs/>
    </w:rPr>
  </w:style>
  <w:style w:type="character" w:customStyle="1" w:styleId="AklamaKonusuChar">
    <w:name w:val="Açıklama Konusu Char"/>
    <w:basedOn w:val="AklamaMetniChar"/>
    <w:link w:val="AklamaKonusu"/>
    <w:uiPriority w:val="99"/>
    <w:semiHidden/>
    <w:rsid w:val="00F378B3"/>
    <w:rPr>
      <w:rFonts w:ascii="Times New Roman" w:eastAsiaTheme="minorEastAsia" w:hAnsi="Times New Roman"/>
      <w:b/>
      <w:bCs/>
      <w:sz w:val="20"/>
      <w:szCs w:val="20"/>
      <w:lang w:val="tr-TR" w:eastAsia="tr-TR"/>
    </w:rPr>
  </w:style>
  <w:style w:type="paragraph" w:styleId="AltBilgi">
    <w:name w:val="footer"/>
    <w:basedOn w:val="Normal"/>
    <w:link w:val="AltBilgiChar"/>
    <w:uiPriority w:val="99"/>
    <w:unhideWhenUsed/>
    <w:rsid w:val="006D779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D779C"/>
    <w:rPr>
      <w:rFonts w:ascii="Times New Roman" w:eastAsiaTheme="minorEastAsia" w:hAnsi="Times New Roman"/>
      <w:sz w:val="24"/>
      <w:lang w:val="tr-TR" w:eastAsia="tr-TR"/>
    </w:rPr>
  </w:style>
  <w:style w:type="paragraph" w:styleId="NormalWeb">
    <w:name w:val="Normal (Web)"/>
    <w:basedOn w:val="Normal"/>
    <w:uiPriority w:val="99"/>
    <w:semiHidden/>
    <w:unhideWhenUsed/>
    <w:rsid w:val="00450880"/>
    <w:pPr>
      <w:spacing w:before="100" w:beforeAutospacing="1" w:after="100" w:afterAutospacing="1" w:line="240" w:lineRule="auto"/>
      <w:jc w:val="left"/>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004">
      <w:bodyDiv w:val="1"/>
      <w:marLeft w:val="0"/>
      <w:marRight w:val="0"/>
      <w:marTop w:val="0"/>
      <w:marBottom w:val="0"/>
      <w:divBdr>
        <w:top w:val="none" w:sz="0" w:space="0" w:color="auto"/>
        <w:left w:val="none" w:sz="0" w:space="0" w:color="auto"/>
        <w:bottom w:val="none" w:sz="0" w:space="0" w:color="auto"/>
        <w:right w:val="none" w:sz="0" w:space="0" w:color="auto"/>
      </w:divBdr>
    </w:div>
    <w:div w:id="7290738">
      <w:bodyDiv w:val="1"/>
      <w:marLeft w:val="0"/>
      <w:marRight w:val="0"/>
      <w:marTop w:val="0"/>
      <w:marBottom w:val="0"/>
      <w:divBdr>
        <w:top w:val="none" w:sz="0" w:space="0" w:color="auto"/>
        <w:left w:val="none" w:sz="0" w:space="0" w:color="auto"/>
        <w:bottom w:val="none" w:sz="0" w:space="0" w:color="auto"/>
        <w:right w:val="none" w:sz="0" w:space="0" w:color="auto"/>
      </w:divBdr>
    </w:div>
    <w:div w:id="20252748">
      <w:bodyDiv w:val="1"/>
      <w:marLeft w:val="0"/>
      <w:marRight w:val="0"/>
      <w:marTop w:val="0"/>
      <w:marBottom w:val="0"/>
      <w:divBdr>
        <w:top w:val="none" w:sz="0" w:space="0" w:color="auto"/>
        <w:left w:val="none" w:sz="0" w:space="0" w:color="auto"/>
        <w:bottom w:val="none" w:sz="0" w:space="0" w:color="auto"/>
        <w:right w:val="none" w:sz="0" w:space="0" w:color="auto"/>
      </w:divBdr>
    </w:div>
    <w:div w:id="57871090">
      <w:bodyDiv w:val="1"/>
      <w:marLeft w:val="0"/>
      <w:marRight w:val="0"/>
      <w:marTop w:val="0"/>
      <w:marBottom w:val="0"/>
      <w:divBdr>
        <w:top w:val="none" w:sz="0" w:space="0" w:color="auto"/>
        <w:left w:val="none" w:sz="0" w:space="0" w:color="auto"/>
        <w:bottom w:val="none" w:sz="0" w:space="0" w:color="auto"/>
        <w:right w:val="none" w:sz="0" w:space="0" w:color="auto"/>
      </w:divBdr>
    </w:div>
    <w:div w:id="69425993">
      <w:bodyDiv w:val="1"/>
      <w:marLeft w:val="0"/>
      <w:marRight w:val="0"/>
      <w:marTop w:val="0"/>
      <w:marBottom w:val="0"/>
      <w:divBdr>
        <w:top w:val="none" w:sz="0" w:space="0" w:color="auto"/>
        <w:left w:val="none" w:sz="0" w:space="0" w:color="auto"/>
        <w:bottom w:val="none" w:sz="0" w:space="0" w:color="auto"/>
        <w:right w:val="none" w:sz="0" w:space="0" w:color="auto"/>
      </w:divBdr>
    </w:div>
    <w:div w:id="142700073">
      <w:bodyDiv w:val="1"/>
      <w:marLeft w:val="0"/>
      <w:marRight w:val="0"/>
      <w:marTop w:val="0"/>
      <w:marBottom w:val="0"/>
      <w:divBdr>
        <w:top w:val="none" w:sz="0" w:space="0" w:color="auto"/>
        <w:left w:val="none" w:sz="0" w:space="0" w:color="auto"/>
        <w:bottom w:val="none" w:sz="0" w:space="0" w:color="auto"/>
        <w:right w:val="none" w:sz="0" w:space="0" w:color="auto"/>
      </w:divBdr>
    </w:div>
    <w:div w:id="159582854">
      <w:bodyDiv w:val="1"/>
      <w:marLeft w:val="0"/>
      <w:marRight w:val="0"/>
      <w:marTop w:val="0"/>
      <w:marBottom w:val="0"/>
      <w:divBdr>
        <w:top w:val="none" w:sz="0" w:space="0" w:color="auto"/>
        <w:left w:val="none" w:sz="0" w:space="0" w:color="auto"/>
        <w:bottom w:val="none" w:sz="0" w:space="0" w:color="auto"/>
        <w:right w:val="none" w:sz="0" w:space="0" w:color="auto"/>
      </w:divBdr>
    </w:div>
    <w:div w:id="239366986">
      <w:bodyDiv w:val="1"/>
      <w:marLeft w:val="0"/>
      <w:marRight w:val="0"/>
      <w:marTop w:val="0"/>
      <w:marBottom w:val="0"/>
      <w:divBdr>
        <w:top w:val="none" w:sz="0" w:space="0" w:color="auto"/>
        <w:left w:val="none" w:sz="0" w:space="0" w:color="auto"/>
        <w:bottom w:val="none" w:sz="0" w:space="0" w:color="auto"/>
        <w:right w:val="none" w:sz="0" w:space="0" w:color="auto"/>
      </w:divBdr>
    </w:div>
    <w:div w:id="274949051">
      <w:bodyDiv w:val="1"/>
      <w:marLeft w:val="0"/>
      <w:marRight w:val="0"/>
      <w:marTop w:val="0"/>
      <w:marBottom w:val="0"/>
      <w:divBdr>
        <w:top w:val="none" w:sz="0" w:space="0" w:color="auto"/>
        <w:left w:val="none" w:sz="0" w:space="0" w:color="auto"/>
        <w:bottom w:val="none" w:sz="0" w:space="0" w:color="auto"/>
        <w:right w:val="none" w:sz="0" w:space="0" w:color="auto"/>
      </w:divBdr>
    </w:div>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371928691">
      <w:bodyDiv w:val="1"/>
      <w:marLeft w:val="0"/>
      <w:marRight w:val="0"/>
      <w:marTop w:val="0"/>
      <w:marBottom w:val="0"/>
      <w:divBdr>
        <w:top w:val="none" w:sz="0" w:space="0" w:color="auto"/>
        <w:left w:val="none" w:sz="0" w:space="0" w:color="auto"/>
        <w:bottom w:val="none" w:sz="0" w:space="0" w:color="auto"/>
        <w:right w:val="none" w:sz="0" w:space="0" w:color="auto"/>
      </w:divBdr>
    </w:div>
    <w:div w:id="377360653">
      <w:bodyDiv w:val="1"/>
      <w:marLeft w:val="0"/>
      <w:marRight w:val="0"/>
      <w:marTop w:val="0"/>
      <w:marBottom w:val="0"/>
      <w:divBdr>
        <w:top w:val="none" w:sz="0" w:space="0" w:color="auto"/>
        <w:left w:val="none" w:sz="0" w:space="0" w:color="auto"/>
        <w:bottom w:val="none" w:sz="0" w:space="0" w:color="auto"/>
        <w:right w:val="none" w:sz="0" w:space="0" w:color="auto"/>
      </w:divBdr>
    </w:div>
    <w:div w:id="379979985">
      <w:bodyDiv w:val="1"/>
      <w:marLeft w:val="0"/>
      <w:marRight w:val="0"/>
      <w:marTop w:val="0"/>
      <w:marBottom w:val="0"/>
      <w:divBdr>
        <w:top w:val="none" w:sz="0" w:space="0" w:color="auto"/>
        <w:left w:val="none" w:sz="0" w:space="0" w:color="auto"/>
        <w:bottom w:val="none" w:sz="0" w:space="0" w:color="auto"/>
        <w:right w:val="none" w:sz="0" w:space="0" w:color="auto"/>
      </w:divBdr>
    </w:div>
    <w:div w:id="395518276">
      <w:bodyDiv w:val="1"/>
      <w:marLeft w:val="0"/>
      <w:marRight w:val="0"/>
      <w:marTop w:val="0"/>
      <w:marBottom w:val="0"/>
      <w:divBdr>
        <w:top w:val="none" w:sz="0" w:space="0" w:color="auto"/>
        <w:left w:val="none" w:sz="0" w:space="0" w:color="auto"/>
        <w:bottom w:val="none" w:sz="0" w:space="0" w:color="auto"/>
        <w:right w:val="none" w:sz="0" w:space="0" w:color="auto"/>
      </w:divBdr>
    </w:div>
    <w:div w:id="426854056">
      <w:bodyDiv w:val="1"/>
      <w:marLeft w:val="0"/>
      <w:marRight w:val="0"/>
      <w:marTop w:val="0"/>
      <w:marBottom w:val="0"/>
      <w:divBdr>
        <w:top w:val="none" w:sz="0" w:space="0" w:color="auto"/>
        <w:left w:val="none" w:sz="0" w:space="0" w:color="auto"/>
        <w:bottom w:val="none" w:sz="0" w:space="0" w:color="auto"/>
        <w:right w:val="none" w:sz="0" w:space="0" w:color="auto"/>
      </w:divBdr>
    </w:div>
    <w:div w:id="472213058">
      <w:bodyDiv w:val="1"/>
      <w:marLeft w:val="0"/>
      <w:marRight w:val="0"/>
      <w:marTop w:val="0"/>
      <w:marBottom w:val="0"/>
      <w:divBdr>
        <w:top w:val="none" w:sz="0" w:space="0" w:color="auto"/>
        <w:left w:val="none" w:sz="0" w:space="0" w:color="auto"/>
        <w:bottom w:val="none" w:sz="0" w:space="0" w:color="auto"/>
        <w:right w:val="none" w:sz="0" w:space="0" w:color="auto"/>
      </w:divBdr>
    </w:div>
    <w:div w:id="504172583">
      <w:bodyDiv w:val="1"/>
      <w:marLeft w:val="0"/>
      <w:marRight w:val="0"/>
      <w:marTop w:val="0"/>
      <w:marBottom w:val="0"/>
      <w:divBdr>
        <w:top w:val="none" w:sz="0" w:space="0" w:color="auto"/>
        <w:left w:val="none" w:sz="0" w:space="0" w:color="auto"/>
        <w:bottom w:val="none" w:sz="0" w:space="0" w:color="auto"/>
        <w:right w:val="none" w:sz="0" w:space="0" w:color="auto"/>
      </w:divBdr>
    </w:div>
    <w:div w:id="550380490">
      <w:bodyDiv w:val="1"/>
      <w:marLeft w:val="0"/>
      <w:marRight w:val="0"/>
      <w:marTop w:val="0"/>
      <w:marBottom w:val="0"/>
      <w:divBdr>
        <w:top w:val="none" w:sz="0" w:space="0" w:color="auto"/>
        <w:left w:val="none" w:sz="0" w:space="0" w:color="auto"/>
        <w:bottom w:val="none" w:sz="0" w:space="0" w:color="auto"/>
        <w:right w:val="none" w:sz="0" w:space="0" w:color="auto"/>
      </w:divBdr>
    </w:div>
    <w:div w:id="553126615">
      <w:bodyDiv w:val="1"/>
      <w:marLeft w:val="0"/>
      <w:marRight w:val="0"/>
      <w:marTop w:val="0"/>
      <w:marBottom w:val="0"/>
      <w:divBdr>
        <w:top w:val="none" w:sz="0" w:space="0" w:color="auto"/>
        <w:left w:val="none" w:sz="0" w:space="0" w:color="auto"/>
        <w:bottom w:val="none" w:sz="0" w:space="0" w:color="auto"/>
        <w:right w:val="none" w:sz="0" w:space="0" w:color="auto"/>
      </w:divBdr>
    </w:div>
    <w:div w:id="603269103">
      <w:bodyDiv w:val="1"/>
      <w:marLeft w:val="0"/>
      <w:marRight w:val="0"/>
      <w:marTop w:val="0"/>
      <w:marBottom w:val="0"/>
      <w:divBdr>
        <w:top w:val="none" w:sz="0" w:space="0" w:color="auto"/>
        <w:left w:val="none" w:sz="0" w:space="0" w:color="auto"/>
        <w:bottom w:val="none" w:sz="0" w:space="0" w:color="auto"/>
        <w:right w:val="none" w:sz="0" w:space="0" w:color="auto"/>
      </w:divBdr>
    </w:div>
    <w:div w:id="638876295">
      <w:bodyDiv w:val="1"/>
      <w:marLeft w:val="0"/>
      <w:marRight w:val="0"/>
      <w:marTop w:val="0"/>
      <w:marBottom w:val="0"/>
      <w:divBdr>
        <w:top w:val="none" w:sz="0" w:space="0" w:color="auto"/>
        <w:left w:val="none" w:sz="0" w:space="0" w:color="auto"/>
        <w:bottom w:val="none" w:sz="0" w:space="0" w:color="auto"/>
        <w:right w:val="none" w:sz="0" w:space="0" w:color="auto"/>
      </w:divBdr>
    </w:div>
    <w:div w:id="671180372">
      <w:bodyDiv w:val="1"/>
      <w:marLeft w:val="0"/>
      <w:marRight w:val="0"/>
      <w:marTop w:val="0"/>
      <w:marBottom w:val="0"/>
      <w:divBdr>
        <w:top w:val="none" w:sz="0" w:space="0" w:color="auto"/>
        <w:left w:val="none" w:sz="0" w:space="0" w:color="auto"/>
        <w:bottom w:val="none" w:sz="0" w:space="0" w:color="auto"/>
        <w:right w:val="none" w:sz="0" w:space="0" w:color="auto"/>
      </w:divBdr>
    </w:div>
    <w:div w:id="684333154">
      <w:bodyDiv w:val="1"/>
      <w:marLeft w:val="0"/>
      <w:marRight w:val="0"/>
      <w:marTop w:val="0"/>
      <w:marBottom w:val="0"/>
      <w:divBdr>
        <w:top w:val="none" w:sz="0" w:space="0" w:color="auto"/>
        <w:left w:val="none" w:sz="0" w:space="0" w:color="auto"/>
        <w:bottom w:val="none" w:sz="0" w:space="0" w:color="auto"/>
        <w:right w:val="none" w:sz="0" w:space="0" w:color="auto"/>
      </w:divBdr>
    </w:div>
    <w:div w:id="709108033">
      <w:bodyDiv w:val="1"/>
      <w:marLeft w:val="0"/>
      <w:marRight w:val="0"/>
      <w:marTop w:val="0"/>
      <w:marBottom w:val="0"/>
      <w:divBdr>
        <w:top w:val="none" w:sz="0" w:space="0" w:color="auto"/>
        <w:left w:val="none" w:sz="0" w:space="0" w:color="auto"/>
        <w:bottom w:val="none" w:sz="0" w:space="0" w:color="auto"/>
        <w:right w:val="none" w:sz="0" w:space="0" w:color="auto"/>
      </w:divBdr>
    </w:div>
    <w:div w:id="726684675">
      <w:bodyDiv w:val="1"/>
      <w:marLeft w:val="0"/>
      <w:marRight w:val="0"/>
      <w:marTop w:val="0"/>
      <w:marBottom w:val="0"/>
      <w:divBdr>
        <w:top w:val="none" w:sz="0" w:space="0" w:color="auto"/>
        <w:left w:val="none" w:sz="0" w:space="0" w:color="auto"/>
        <w:bottom w:val="none" w:sz="0" w:space="0" w:color="auto"/>
        <w:right w:val="none" w:sz="0" w:space="0" w:color="auto"/>
      </w:divBdr>
    </w:div>
    <w:div w:id="743993416">
      <w:bodyDiv w:val="1"/>
      <w:marLeft w:val="0"/>
      <w:marRight w:val="0"/>
      <w:marTop w:val="0"/>
      <w:marBottom w:val="0"/>
      <w:divBdr>
        <w:top w:val="none" w:sz="0" w:space="0" w:color="auto"/>
        <w:left w:val="none" w:sz="0" w:space="0" w:color="auto"/>
        <w:bottom w:val="none" w:sz="0" w:space="0" w:color="auto"/>
        <w:right w:val="none" w:sz="0" w:space="0" w:color="auto"/>
      </w:divBdr>
    </w:div>
    <w:div w:id="770390679">
      <w:bodyDiv w:val="1"/>
      <w:marLeft w:val="0"/>
      <w:marRight w:val="0"/>
      <w:marTop w:val="0"/>
      <w:marBottom w:val="0"/>
      <w:divBdr>
        <w:top w:val="none" w:sz="0" w:space="0" w:color="auto"/>
        <w:left w:val="none" w:sz="0" w:space="0" w:color="auto"/>
        <w:bottom w:val="none" w:sz="0" w:space="0" w:color="auto"/>
        <w:right w:val="none" w:sz="0" w:space="0" w:color="auto"/>
      </w:divBdr>
    </w:div>
    <w:div w:id="795684175">
      <w:bodyDiv w:val="1"/>
      <w:marLeft w:val="0"/>
      <w:marRight w:val="0"/>
      <w:marTop w:val="0"/>
      <w:marBottom w:val="0"/>
      <w:divBdr>
        <w:top w:val="none" w:sz="0" w:space="0" w:color="auto"/>
        <w:left w:val="none" w:sz="0" w:space="0" w:color="auto"/>
        <w:bottom w:val="none" w:sz="0" w:space="0" w:color="auto"/>
        <w:right w:val="none" w:sz="0" w:space="0" w:color="auto"/>
      </w:divBdr>
    </w:div>
    <w:div w:id="795835798">
      <w:bodyDiv w:val="1"/>
      <w:marLeft w:val="0"/>
      <w:marRight w:val="0"/>
      <w:marTop w:val="0"/>
      <w:marBottom w:val="0"/>
      <w:divBdr>
        <w:top w:val="none" w:sz="0" w:space="0" w:color="auto"/>
        <w:left w:val="none" w:sz="0" w:space="0" w:color="auto"/>
        <w:bottom w:val="none" w:sz="0" w:space="0" w:color="auto"/>
        <w:right w:val="none" w:sz="0" w:space="0" w:color="auto"/>
      </w:divBdr>
    </w:div>
    <w:div w:id="834340063">
      <w:bodyDiv w:val="1"/>
      <w:marLeft w:val="0"/>
      <w:marRight w:val="0"/>
      <w:marTop w:val="0"/>
      <w:marBottom w:val="0"/>
      <w:divBdr>
        <w:top w:val="none" w:sz="0" w:space="0" w:color="auto"/>
        <w:left w:val="none" w:sz="0" w:space="0" w:color="auto"/>
        <w:bottom w:val="none" w:sz="0" w:space="0" w:color="auto"/>
        <w:right w:val="none" w:sz="0" w:space="0" w:color="auto"/>
      </w:divBdr>
    </w:div>
    <w:div w:id="862060875">
      <w:bodyDiv w:val="1"/>
      <w:marLeft w:val="0"/>
      <w:marRight w:val="0"/>
      <w:marTop w:val="0"/>
      <w:marBottom w:val="0"/>
      <w:divBdr>
        <w:top w:val="none" w:sz="0" w:space="0" w:color="auto"/>
        <w:left w:val="none" w:sz="0" w:space="0" w:color="auto"/>
        <w:bottom w:val="none" w:sz="0" w:space="0" w:color="auto"/>
        <w:right w:val="none" w:sz="0" w:space="0" w:color="auto"/>
      </w:divBdr>
    </w:div>
    <w:div w:id="895824651">
      <w:bodyDiv w:val="1"/>
      <w:marLeft w:val="0"/>
      <w:marRight w:val="0"/>
      <w:marTop w:val="0"/>
      <w:marBottom w:val="0"/>
      <w:divBdr>
        <w:top w:val="none" w:sz="0" w:space="0" w:color="auto"/>
        <w:left w:val="none" w:sz="0" w:space="0" w:color="auto"/>
        <w:bottom w:val="none" w:sz="0" w:space="0" w:color="auto"/>
        <w:right w:val="none" w:sz="0" w:space="0" w:color="auto"/>
      </w:divBdr>
    </w:div>
    <w:div w:id="922689470">
      <w:bodyDiv w:val="1"/>
      <w:marLeft w:val="0"/>
      <w:marRight w:val="0"/>
      <w:marTop w:val="0"/>
      <w:marBottom w:val="0"/>
      <w:divBdr>
        <w:top w:val="none" w:sz="0" w:space="0" w:color="auto"/>
        <w:left w:val="none" w:sz="0" w:space="0" w:color="auto"/>
        <w:bottom w:val="none" w:sz="0" w:space="0" w:color="auto"/>
        <w:right w:val="none" w:sz="0" w:space="0" w:color="auto"/>
      </w:divBdr>
    </w:div>
    <w:div w:id="955454310">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957419256">
      <w:bodyDiv w:val="1"/>
      <w:marLeft w:val="0"/>
      <w:marRight w:val="0"/>
      <w:marTop w:val="0"/>
      <w:marBottom w:val="0"/>
      <w:divBdr>
        <w:top w:val="none" w:sz="0" w:space="0" w:color="auto"/>
        <w:left w:val="none" w:sz="0" w:space="0" w:color="auto"/>
        <w:bottom w:val="none" w:sz="0" w:space="0" w:color="auto"/>
        <w:right w:val="none" w:sz="0" w:space="0" w:color="auto"/>
      </w:divBdr>
    </w:div>
    <w:div w:id="995188540">
      <w:bodyDiv w:val="1"/>
      <w:marLeft w:val="0"/>
      <w:marRight w:val="0"/>
      <w:marTop w:val="0"/>
      <w:marBottom w:val="0"/>
      <w:divBdr>
        <w:top w:val="none" w:sz="0" w:space="0" w:color="auto"/>
        <w:left w:val="none" w:sz="0" w:space="0" w:color="auto"/>
        <w:bottom w:val="none" w:sz="0" w:space="0" w:color="auto"/>
        <w:right w:val="none" w:sz="0" w:space="0" w:color="auto"/>
      </w:divBdr>
    </w:div>
    <w:div w:id="1007828452">
      <w:bodyDiv w:val="1"/>
      <w:marLeft w:val="0"/>
      <w:marRight w:val="0"/>
      <w:marTop w:val="0"/>
      <w:marBottom w:val="0"/>
      <w:divBdr>
        <w:top w:val="none" w:sz="0" w:space="0" w:color="auto"/>
        <w:left w:val="none" w:sz="0" w:space="0" w:color="auto"/>
        <w:bottom w:val="none" w:sz="0" w:space="0" w:color="auto"/>
        <w:right w:val="none" w:sz="0" w:space="0" w:color="auto"/>
      </w:divBdr>
    </w:div>
    <w:div w:id="1015839410">
      <w:bodyDiv w:val="1"/>
      <w:marLeft w:val="0"/>
      <w:marRight w:val="0"/>
      <w:marTop w:val="0"/>
      <w:marBottom w:val="0"/>
      <w:divBdr>
        <w:top w:val="none" w:sz="0" w:space="0" w:color="auto"/>
        <w:left w:val="none" w:sz="0" w:space="0" w:color="auto"/>
        <w:bottom w:val="none" w:sz="0" w:space="0" w:color="auto"/>
        <w:right w:val="none" w:sz="0" w:space="0" w:color="auto"/>
      </w:divBdr>
    </w:div>
    <w:div w:id="1045301296">
      <w:bodyDiv w:val="1"/>
      <w:marLeft w:val="0"/>
      <w:marRight w:val="0"/>
      <w:marTop w:val="0"/>
      <w:marBottom w:val="0"/>
      <w:divBdr>
        <w:top w:val="none" w:sz="0" w:space="0" w:color="auto"/>
        <w:left w:val="none" w:sz="0" w:space="0" w:color="auto"/>
        <w:bottom w:val="none" w:sz="0" w:space="0" w:color="auto"/>
        <w:right w:val="none" w:sz="0" w:space="0" w:color="auto"/>
      </w:divBdr>
    </w:div>
    <w:div w:id="1060833040">
      <w:bodyDiv w:val="1"/>
      <w:marLeft w:val="0"/>
      <w:marRight w:val="0"/>
      <w:marTop w:val="0"/>
      <w:marBottom w:val="0"/>
      <w:divBdr>
        <w:top w:val="none" w:sz="0" w:space="0" w:color="auto"/>
        <w:left w:val="none" w:sz="0" w:space="0" w:color="auto"/>
        <w:bottom w:val="none" w:sz="0" w:space="0" w:color="auto"/>
        <w:right w:val="none" w:sz="0" w:space="0" w:color="auto"/>
      </w:divBdr>
    </w:div>
    <w:div w:id="1188910839">
      <w:bodyDiv w:val="1"/>
      <w:marLeft w:val="0"/>
      <w:marRight w:val="0"/>
      <w:marTop w:val="0"/>
      <w:marBottom w:val="0"/>
      <w:divBdr>
        <w:top w:val="none" w:sz="0" w:space="0" w:color="auto"/>
        <w:left w:val="none" w:sz="0" w:space="0" w:color="auto"/>
        <w:bottom w:val="none" w:sz="0" w:space="0" w:color="auto"/>
        <w:right w:val="none" w:sz="0" w:space="0" w:color="auto"/>
      </w:divBdr>
    </w:div>
    <w:div w:id="1197082764">
      <w:bodyDiv w:val="1"/>
      <w:marLeft w:val="0"/>
      <w:marRight w:val="0"/>
      <w:marTop w:val="0"/>
      <w:marBottom w:val="0"/>
      <w:divBdr>
        <w:top w:val="none" w:sz="0" w:space="0" w:color="auto"/>
        <w:left w:val="none" w:sz="0" w:space="0" w:color="auto"/>
        <w:bottom w:val="none" w:sz="0" w:space="0" w:color="auto"/>
        <w:right w:val="none" w:sz="0" w:space="0" w:color="auto"/>
      </w:divBdr>
    </w:div>
    <w:div w:id="1231037037">
      <w:bodyDiv w:val="1"/>
      <w:marLeft w:val="0"/>
      <w:marRight w:val="0"/>
      <w:marTop w:val="0"/>
      <w:marBottom w:val="0"/>
      <w:divBdr>
        <w:top w:val="none" w:sz="0" w:space="0" w:color="auto"/>
        <w:left w:val="none" w:sz="0" w:space="0" w:color="auto"/>
        <w:bottom w:val="none" w:sz="0" w:space="0" w:color="auto"/>
        <w:right w:val="none" w:sz="0" w:space="0" w:color="auto"/>
      </w:divBdr>
    </w:div>
    <w:div w:id="1236664391">
      <w:bodyDiv w:val="1"/>
      <w:marLeft w:val="0"/>
      <w:marRight w:val="0"/>
      <w:marTop w:val="0"/>
      <w:marBottom w:val="0"/>
      <w:divBdr>
        <w:top w:val="none" w:sz="0" w:space="0" w:color="auto"/>
        <w:left w:val="none" w:sz="0" w:space="0" w:color="auto"/>
        <w:bottom w:val="none" w:sz="0" w:space="0" w:color="auto"/>
        <w:right w:val="none" w:sz="0" w:space="0" w:color="auto"/>
      </w:divBdr>
    </w:div>
    <w:div w:id="1276254957">
      <w:bodyDiv w:val="1"/>
      <w:marLeft w:val="0"/>
      <w:marRight w:val="0"/>
      <w:marTop w:val="0"/>
      <w:marBottom w:val="0"/>
      <w:divBdr>
        <w:top w:val="none" w:sz="0" w:space="0" w:color="auto"/>
        <w:left w:val="none" w:sz="0" w:space="0" w:color="auto"/>
        <w:bottom w:val="none" w:sz="0" w:space="0" w:color="auto"/>
        <w:right w:val="none" w:sz="0" w:space="0" w:color="auto"/>
      </w:divBdr>
    </w:div>
    <w:div w:id="1288973736">
      <w:bodyDiv w:val="1"/>
      <w:marLeft w:val="0"/>
      <w:marRight w:val="0"/>
      <w:marTop w:val="0"/>
      <w:marBottom w:val="0"/>
      <w:divBdr>
        <w:top w:val="none" w:sz="0" w:space="0" w:color="auto"/>
        <w:left w:val="none" w:sz="0" w:space="0" w:color="auto"/>
        <w:bottom w:val="none" w:sz="0" w:space="0" w:color="auto"/>
        <w:right w:val="none" w:sz="0" w:space="0" w:color="auto"/>
      </w:divBdr>
    </w:div>
    <w:div w:id="1291742582">
      <w:bodyDiv w:val="1"/>
      <w:marLeft w:val="0"/>
      <w:marRight w:val="0"/>
      <w:marTop w:val="0"/>
      <w:marBottom w:val="0"/>
      <w:divBdr>
        <w:top w:val="none" w:sz="0" w:space="0" w:color="auto"/>
        <w:left w:val="none" w:sz="0" w:space="0" w:color="auto"/>
        <w:bottom w:val="none" w:sz="0" w:space="0" w:color="auto"/>
        <w:right w:val="none" w:sz="0" w:space="0" w:color="auto"/>
      </w:divBdr>
    </w:div>
    <w:div w:id="1441028269">
      <w:bodyDiv w:val="1"/>
      <w:marLeft w:val="0"/>
      <w:marRight w:val="0"/>
      <w:marTop w:val="0"/>
      <w:marBottom w:val="0"/>
      <w:divBdr>
        <w:top w:val="none" w:sz="0" w:space="0" w:color="auto"/>
        <w:left w:val="none" w:sz="0" w:space="0" w:color="auto"/>
        <w:bottom w:val="none" w:sz="0" w:space="0" w:color="auto"/>
        <w:right w:val="none" w:sz="0" w:space="0" w:color="auto"/>
      </w:divBdr>
    </w:div>
    <w:div w:id="1487941814">
      <w:bodyDiv w:val="1"/>
      <w:marLeft w:val="0"/>
      <w:marRight w:val="0"/>
      <w:marTop w:val="0"/>
      <w:marBottom w:val="0"/>
      <w:divBdr>
        <w:top w:val="none" w:sz="0" w:space="0" w:color="auto"/>
        <w:left w:val="none" w:sz="0" w:space="0" w:color="auto"/>
        <w:bottom w:val="none" w:sz="0" w:space="0" w:color="auto"/>
        <w:right w:val="none" w:sz="0" w:space="0" w:color="auto"/>
      </w:divBdr>
    </w:div>
    <w:div w:id="1502042312">
      <w:bodyDiv w:val="1"/>
      <w:marLeft w:val="0"/>
      <w:marRight w:val="0"/>
      <w:marTop w:val="0"/>
      <w:marBottom w:val="0"/>
      <w:divBdr>
        <w:top w:val="none" w:sz="0" w:space="0" w:color="auto"/>
        <w:left w:val="none" w:sz="0" w:space="0" w:color="auto"/>
        <w:bottom w:val="none" w:sz="0" w:space="0" w:color="auto"/>
        <w:right w:val="none" w:sz="0" w:space="0" w:color="auto"/>
      </w:divBdr>
    </w:div>
    <w:div w:id="1527909058">
      <w:bodyDiv w:val="1"/>
      <w:marLeft w:val="0"/>
      <w:marRight w:val="0"/>
      <w:marTop w:val="0"/>
      <w:marBottom w:val="0"/>
      <w:divBdr>
        <w:top w:val="none" w:sz="0" w:space="0" w:color="auto"/>
        <w:left w:val="none" w:sz="0" w:space="0" w:color="auto"/>
        <w:bottom w:val="none" w:sz="0" w:space="0" w:color="auto"/>
        <w:right w:val="none" w:sz="0" w:space="0" w:color="auto"/>
      </w:divBdr>
    </w:div>
    <w:div w:id="1609120496">
      <w:bodyDiv w:val="1"/>
      <w:marLeft w:val="0"/>
      <w:marRight w:val="0"/>
      <w:marTop w:val="0"/>
      <w:marBottom w:val="0"/>
      <w:divBdr>
        <w:top w:val="none" w:sz="0" w:space="0" w:color="auto"/>
        <w:left w:val="none" w:sz="0" w:space="0" w:color="auto"/>
        <w:bottom w:val="none" w:sz="0" w:space="0" w:color="auto"/>
        <w:right w:val="none" w:sz="0" w:space="0" w:color="auto"/>
      </w:divBdr>
    </w:div>
    <w:div w:id="1641879316">
      <w:bodyDiv w:val="1"/>
      <w:marLeft w:val="0"/>
      <w:marRight w:val="0"/>
      <w:marTop w:val="0"/>
      <w:marBottom w:val="0"/>
      <w:divBdr>
        <w:top w:val="none" w:sz="0" w:space="0" w:color="auto"/>
        <w:left w:val="none" w:sz="0" w:space="0" w:color="auto"/>
        <w:bottom w:val="none" w:sz="0" w:space="0" w:color="auto"/>
        <w:right w:val="none" w:sz="0" w:space="0" w:color="auto"/>
      </w:divBdr>
    </w:div>
    <w:div w:id="1646204039">
      <w:bodyDiv w:val="1"/>
      <w:marLeft w:val="0"/>
      <w:marRight w:val="0"/>
      <w:marTop w:val="0"/>
      <w:marBottom w:val="0"/>
      <w:divBdr>
        <w:top w:val="none" w:sz="0" w:space="0" w:color="auto"/>
        <w:left w:val="none" w:sz="0" w:space="0" w:color="auto"/>
        <w:bottom w:val="none" w:sz="0" w:space="0" w:color="auto"/>
        <w:right w:val="none" w:sz="0" w:space="0" w:color="auto"/>
      </w:divBdr>
    </w:div>
    <w:div w:id="1647468132">
      <w:bodyDiv w:val="1"/>
      <w:marLeft w:val="0"/>
      <w:marRight w:val="0"/>
      <w:marTop w:val="0"/>
      <w:marBottom w:val="0"/>
      <w:divBdr>
        <w:top w:val="none" w:sz="0" w:space="0" w:color="auto"/>
        <w:left w:val="none" w:sz="0" w:space="0" w:color="auto"/>
        <w:bottom w:val="none" w:sz="0" w:space="0" w:color="auto"/>
        <w:right w:val="none" w:sz="0" w:space="0" w:color="auto"/>
      </w:divBdr>
    </w:div>
    <w:div w:id="1714111932">
      <w:bodyDiv w:val="1"/>
      <w:marLeft w:val="0"/>
      <w:marRight w:val="0"/>
      <w:marTop w:val="0"/>
      <w:marBottom w:val="0"/>
      <w:divBdr>
        <w:top w:val="none" w:sz="0" w:space="0" w:color="auto"/>
        <w:left w:val="none" w:sz="0" w:space="0" w:color="auto"/>
        <w:bottom w:val="none" w:sz="0" w:space="0" w:color="auto"/>
        <w:right w:val="none" w:sz="0" w:space="0" w:color="auto"/>
      </w:divBdr>
    </w:div>
    <w:div w:id="1735661173">
      <w:bodyDiv w:val="1"/>
      <w:marLeft w:val="0"/>
      <w:marRight w:val="0"/>
      <w:marTop w:val="0"/>
      <w:marBottom w:val="0"/>
      <w:divBdr>
        <w:top w:val="none" w:sz="0" w:space="0" w:color="auto"/>
        <w:left w:val="none" w:sz="0" w:space="0" w:color="auto"/>
        <w:bottom w:val="none" w:sz="0" w:space="0" w:color="auto"/>
        <w:right w:val="none" w:sz="0" w:space="0" w:color="auto"/>
      </w:divBdr>
    </w:div>
    <w:div w:id="1776513053">
      <w:bodyDiv w:val="1"/>
      <w:marLeft w:val="0"/>
      <w:marRight w:val="0"/>
      <w:marTop w:val="0"/>
      <w:marBottom w:val="0"/>
      <w:divBdr>
        <w:top w:val="none" w:sz="0" w:space="0" w:color="auto"/>
        <w:left w:val="none" w:sz="0" w:space="0" w:color="auto"/>
        <w:bottom w:val="none" w:sz="0" w:space="0" w:color="auto"/>
        <w:right w:val="none" w:sz="0" w:space="0" w:color="auto"/>
      </w:divBdr>
    </w:div>
    <w:div w:id="1846164178">
      <w:bodyDiv w:val="1"/>
      <w:marLeft w:val="0"/>
      <w:marRight w:val="0"/>
      <w:marTop w:val="0"/>
      <w:marBottom w:val="0"/>
      <w:divBdr>
        <w:top w:val="none" w:sz="0" w:space="0" w:color="auto"/>
        <w:left w:val="none" w:sz="0" w:space="0" w:color="auto"/>
        <w:bottom w:val="none" w:sz="0" w:space="0" w:color="auto"/>
        <w:right w:val="none" w:sz="0" w:space="0" w:color="auto"/>
      </w:divBdr>
    </w:div>
    <w:div w:id="1870557502">
      <w:bodyDiv w:val="1"/>
      <w:marLeft w:val="0"/>
      <w:marRight w:val="0"/>
      <w:marTop w:val="0"/>
      <w:marBottom w:val="0"/>
      <w:divBdr>
        <w:top w:val="none" w:sz="0" w:space="0" w:color="auto"/>
        <w:left w:val="none" w:sz="0" w:space="0" w:color="auto"/>
        <w:bottom w:val="none" w:sz="0" w:space="0" w:color="auto"/>
        <w:right w:val="none" w:sz="0" w:space="0" w:color="auto"/>
      </w:divBdr>
    </w:div>
    <w:div w:id="1892183804">
      <w:bodyDiv w:val="1"/>
      <w:marLeft w:val="0"/>
      <w:marRight w:val="0"/>
      <w:marTop w:val="0"/>
      <w:marBottom w:val="0"/>
      <w:divBdr>
        <w:top w:val="none" w:sz="0" w:space="0" w:color="auto"/>
        <w:left w:val="none" w:sz="0" w:space="0" w:color="auto"/>
        <w:bottom w:val="none" w:sz="0" w:space="0" w:color="auto"/>
        <w:right w:val="none" w:sz="0" w:space="0" w:color="auto"/>
      </w:divBdr>
    </w:div>
    <w:div w:id="1945385769">
      <w:bodyDiv w:val="1"/>
      <w:marLeft w:val="0"/>
      <w:marRight w:val="0"/>
      <w:marTop w:val="0"/>
      <w:marBottom w:val="0"/>
      <w:divBdr>
        <w:top w:val="none" w:sz="0" w:space="0" w:color="auto"/>
        <w:left w:val="none" w:sz="0" w:space="0" w:color="auto"/>
        <w:bottom w:val="none" w:sz="0" w:space="0" w:color="auto"/>
        <w:right w:val="none" w:sz="0" w:space="0" w:color="auto"/>
      </w:divBdr>
    </w:div>
    <w:div w:id="1996713855">
      <w:bodyDiv w:val="1"/>
      <w:marLeft w:val="0"/>
      <w:marRight w:val="0"/>
      <w:marTop w:val="0"/>
      <w:marBottom w:val="0"/>
      <w:divBdr>
        <w:top w:val="none" w:sz="0" w:space="0" w:color="auto"/>
        <w:left w:val="none" w:sz="0" w:space="0" w:color="auto"/>
        <w:bottom w:val="none" w:sz="0" w:space="0" w:color="auto"/>
        <w:right w:val="none" w:sz="0" w:space="0" w:color="auto"/>
      </w:divBdr>
    </w:div>
    <w:div w:id="2009596782">
      <w:bodyDiv w:val="1"/>
      <w:marLeft w:val="0"/>
      <w:marRight w:val="0"/>
      <w:marTop w:val="0"/>
      <w:marBottom w:val="0"/>
      <w:divBdr>
        <w:top w:val="none" w:sz="0" w:space="0" w:color="auto"/>
        <w:left w:val="none" w:sz="0" w:space="0" w:color="auto"/>
        <w:bottom w:val="none" w:sz="0" w:space="0" w:color="auto"/>
        <w:right w:val="none" w:sz="0" w:space="0" w:color="auto"/>
      </w:divBdr>
    </w:div>
    <w:div w:id="2017729254">
      <w:bodyDiv w:val="1"/>
      <w:marLeft w:val="0"/>
      <w:marRight w:val="0"/>
      <w:marTop w:val="0"/>
      <w:marBottom w:val="0"/>
      <w:divBdr>
        <w:top w:val="none" w:sz="0" w:space="0" w:color="auto"/>
        <w:left w:val="none" w:sz="0" w:space="0" w:color="auto"/>
        <w:bottom w:val="none" w:sz="0" w:space="0" w:color="auto"/>
        <w:right w:val="none" w:sz="0" w:space="0" w:color="auto"/>
      </w:divBdr>
    </w:div>
    <w:div w:id="2033408654">
      <w:bodyDiv w:val="1"/>
      <w:marLeft w:val="0"/>
      <w:marRight w:val="0"/>
      <w:marTop w:val="0"/>
      <w:marBottom w:val="0"/>
      <w:divBdr>
        <w:top w:val="none" w:sz="0" w:space="0" w:color="auto"/>
        <w:left w:val="none" w:sz="0" w:space="0" w:color="auto"/>
        <w:bottom w:val="none" w:sz="0" w:space="0" w:color="auto"/>
        <w:right w:val="none" w:sz="0" w:space="0" w:color="auto"/>
      </w:divBdr>
    </w:div>
    <w:div w:id="2052338060">
      <w:bodyDiv w:val="1"/>
      <w:marLeft w:val="0"/>
      <w:marRight w:val="0"/>
      <w:marTop w:val="0"/>
      <w:marBottom w:val="0"/>
      <w:divBdr>
        <w:top w:val="none" w:sz="0" w:space="0" w:color="auto"/>
        <w:left w:val="none" w:sz="0" w:space="0" w:color="auto"/>
        <w:bottom w:val="none" w:sz="0" w:space="0" w:color="auto"/>
        <w:right w:val="none" w:sz="0" w:space="0" w:color="auto"/>
      </w:divBdr>
    </w:div>
    <w:div w:id="2134326046">
      <w:bodyDiv w:val="1"/>
      <w:marLeft w:val="0"/>
      <w:marRight w:val="0"/>
      <w:marTop w:val="0"/>
      <w:marBottom w:val="0"/>
      <w:divBdr>
        <w:top w:val="none" w:sz="0" w:space="0" w:color="auto"/>
        <w:left w:val="none" w:sz="0" w:space="0" w:color="auto"/>
        <w:bottom w:val="none" w:sz="0" w:space="0" w:color="auto"/>
        <w:right w:val="none" w:sz="0" w:space="0" w:color="auto"/>
      </w:divBdr>
    </w:div>
    <w:div w:id="214434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usN15\Desktop\2019%20Eyl&#252;l\B&#252;y&#252;m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susN15\Desktop\2019%20Eyl&#252;l\B&#252;y&#252;m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34925" cap="rnd">
              <a:solidFill>
                <a:srgbClr val="002060"/>
              </a:solidFill>
              <a:round/>
            </a:ln>
            <a:effectLst/>
          </c:spPr>
          <c:marker>
            <c:symbol val="none"/>
          </c:marker>
          <c:cat>
            <c:strRef>
              <c:f>'Grafik 1'!$L$7:$L$12</c:f>
              <c:strCache>
                <c:ptCount val="6"/>
                <c:pt idx="0">
                  <c:v>2018_Ç1</c:v>
                </c:pt>
                <c:pt idx="1">
                  <c:v>2018_Ç2</c:v>
                </c:pt>
                <c:pt idx="2">
                  <c:v>2018_Ç3</c:v>
                </c:pt>
                <c:pt idx="3">
                  <c:v>2018_Ç4</c:v>
                </c:pt>
                <c:pt idx="4">
                  <c:v>2019_Ç1</c:v>
                </c:pt>
                <c:pt idx="5">
                  <c:v>2019_Ç2</c:v>
                </c:pt>
              </c:strCache>
            </c:strRef>
          </c:cat>
          <c:val>
            <c:numRef>
              <c:f>'Grafik 1'!$M$7:$M$12</c:f>
              <c:numCache>
                <c:formatCode>0</c:formatCode>
                <c:ptCount val="6"/>
                <c:pt idx="0">
                  <c:v>790.11300000000006</c:v>
                </c:pt>
                <c:pt idx="1">
                  <c:v>890.43600000000004</c:v>
                </c:pt>
                <c:pt idx="2">
                  <c:v>1026</c:v>
                </c:pt>
                <c:pt idx="3">
                  <c:v>1017</c:v>
                </c:pt>
                <c:pt idx="4">
                  <c:v>921.06299999999999</c:v>
                </c:pt>
                <c:pt idx="5" formatCode="General">
                  <c:v>1024</c:v>
                </c:pt>
              </c:numCache>
            </c:numRef>
          </c:val>
          <c:smooth val="1"/>
          <c:extLst>
            <c:ext xmlns:c16="http://schemas.microsoft.com/office/drawing/2014/chart" uri="{C3380CC4-5D6E-409C-BE32-E72D297353CC}">
              <c16:uniqueId val="{00000000-3BBE-4A0D-856A-8D6F05966F8E}"/>
            </c:ext>
          </c:extLst>
        </c:ser>
        <c:dLbls>
          <c:showLegendKey val="0"/>
          <c:showVal val="0"/>
          <c:showCatName val="0"/>
          <c:showSerName val="0"/>
          <c:showPercent val="0"/>
          <c:showBubbleSize val="0"/>
        </c:dLbls>
        <c:smooth val="0"/>
        <c:axId val="701406271"/>
        <c:axId val="701395871"/>
      </c:lineChart>
      <c:catAx>
        <c:axId val="7014062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701395871"/>
        <c:crosses val="autoZero"/>
        <c:auto val="1"/>
        <c:lblAlgn val="ctr"/>
        <c:lblOffset val="100"/>
        <c:noMultiLvlLbl val="0"/>
      </c:catAx>
      <c:valAx>
        <c:axId val="701395871"/>
        <c:scaling>
          <c:orientation val="minMax"/>
          <c:max val="1400"/>
          <c:min val="4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701406271"/>
        <c:crosses val="autoZero"/>
        <c:crossBetween val="between"/>
        <c:majorUnit val="2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 2'!$C$3:$C$7</c:f>
              <c:strCache>
                <c:ptCount val="5"/>
                <c:pt idx="0">
                  <c:v>Endeks, sol eksen</c:v>
                </c:pt>
              </c:strCache>
            </c:strRef>
          </c:tx>
          <c:spPr>
            <a:solidFill>
              <a:srgbClr val="002060"/>
            </a:solidFill>
            <a:ln>
              <a:noFill/>
            </a:ln>
            <a:effectLst/>
          </c:spPr>
          <c:invertIfNegative val="0"/>
          <c:cat>
            <c:strRef>
              <c:f>'Grafik 2'!$B$8:$B$13</c:f>
              <c:strCache>
                <c:ptCount val="6"/>
                <c:pt idx="0">
                  <c:v>2018_Ç1</c:v>
                </c:pt>
                <c:pt idx="1">
                  <c:v>2018_Ç2</c:v>
                </c:pt>
                <c:pt idx="2">
                  <c:v>2018_Ç3</c:v>
                </c:pt>
                <c:pt idx="3">
                  <c:v>2018_Ç4</c:v>
                </c:pt>
                <c:pt idx="4">
                  <c:v>2019_Ç1</c:v>
                </c:pt>
                <c:pt idx="5">
                  <c:v>2019_Ç2</c:v>
                </c:pt>
              </c:strCache>
            </c:strRef>
          </c:cat>
          <c:val>
            <c:numRef>
              <c:f>'Grafik 2'!$C$8:$C$13</c:f>
              <c:numCache>
                <c:formatCode>#,##0.0</c:formatCode>
                <c:ptCount val="6"/>
                <c:pt idx="0">
                  <c:v>158.5</c:v>
                </c:pt>
                <c:pt idx="1">
                  <c:v>173.3</c:v>
                </c:pt>
                <c:pt idx="2">
                  <c:v>184.8</c:v>
                </c:pt>
                <c:pt idx="3">
                  <c:v>180.7</c:v>
                </c:pt>
                <c:pt idx="4" formatCode="General">
                  <c:v>154.80000000000001</c:v>
                </c:pt>
                <c:pt idx="5" formatCode="General">
                  <c:v>170.7</c:v>
                </c:pt>
              </c:numCache>
            </c:numRef>
          </c:val>
          <c:extLst>
            <c:ext xmlns:c16="http://schemas.microsoft.com/office/drawing/2014/chart" uri="{C3380CC4-5D6E-409C-BE32-E72D297353CC}">
              <c16:uniqueId val="{00000000-524E-4C3B-9057-FA7655BDE88B}"/>
            </c:ext>
          </c:extLst>
        </c:ser>
        <c:dLbls>
          <c:showLegendKey val="0"/>
          <c:showVal val="0"/>
          <c:showCatName val="0"/>
          <c:showSerName val="0"/>
          <c:showPercent val="0"/>
          <c:showBubbleSize val="0"/>
        </c:dLbls>
        <c:gapWidth val="65"/>
        <c:overlap val="-27"/>
        <c:axId val="400177087"/>
        <c:axId val="576018079"/>
      </c:barChart>
      <c:lineChart>
        <c:grouping val="standard"/>
        <c:varyColors val="0"/>
        <c:ser>
          <c:idx val="1"/>
          <c:order val="1"/>
          <c:tx>
            <c:strRef>
              <c:f>'Grafik 2'!$D$3:$D$7</c:f>
              <c:strCache>
                <c:ptCount val="5"/>
                <c:pt idx="0">
                  <c:v>Bir önceki yılın aynı dönemine göre değişim, %, sağ eksen</c:v>
                </c:pt>
              </c:strCache>
            </c:strRef>
          </c:tx>
          <c:spPr>
            <a:ln w="41275" cap="rnd">
              <a:solidFill>
                <a:srgbClr val="C00000"/>
              </a:solidFill>
              <a:round/>
            </a:ln>
            <a:effectLst/>
          </c:spPr>
          <c:marker>
            <c:symbol val="diamond"/>
            <c:size val="12"/>
            <c:spPr>
              <a:solidFill>
                <a:srgbClr val="C00000"/>
              </a:solidFill>
              <a:ln w="9525">
                <a:solidFill>
                  <a:srgbClr val="C00000"/>
                </a:solidFill>
              </a:ln>
              <a:effectLst/>
            </c:spPr>
          </c:marker>
          <c:cat>
            <c:strRef>
              <c:f>'Grafik 2'!$B$8:$B$13</c:f>
              <c:strCache>
                <c:ptCount val="6"/>
                <c:pt idx="0">
                  <c:v>2018_Ç1</c:v>
                </c:pt>
                <c:pt idx="1">
                  <c:v>2018_Ç2</c:v>
                </c:pt>
                <c:pt idx="2">
                  <c:v>2018_Ç3</c:v>
                </c:pt>
                <c:pt idx="3">
                  <c:v>2018_Ç4</c:v>
                </c:pt>
                <c:pt idx="4">
                  <c:v>2019_Ç1</c:v>
                </c:pt>
                <c:pt idx="5">
                  <c:v>2019_Ç2</c:v>
                </c:pt>
              </c:strCache>
            </c:strRef>
          </c:cat>
          <c:val>
            <c:numRef>
              <c:f>'Grafik 2'!$D$8:$D$13</c:f>
              <c:numCache>
                <c:formatCode>#,##0.0</c:formatCode>
                <c:ptCount val="6"/>
                <c:pt idx="0">
                  <c:v>7.4</c:v>
                </c:pt>
                <c:pt idx="1">
                  <c:v>5.6</c:v>
                </c:pt>
                <c:pt idx="2">
                  <c:v>2.2999999999999998</c:v>
                </c:pt>
                <c:pt idx="3">
                  <c:v>-2.8</c:v>
                </c:pt>
                <c:pt idx="4" formatCode="General">
                  <c:v>-2.4</c:v>
                </c:pt>
                <c:pt idx="5" formatCode="General">
                  <c:v>-1.5</c:v>
                </c:pt>
              </c:numCache>
            </c:numRef>
          </c:val>
          <c:smooth val="1"/>
          <c:extLst>
            <c:ext xmlns:c16="http://schemas.microsoft.com/office/drawing/2014/chart" uri="{C3380CC4-5D6E-409C-BE32-E72D297353CC}">
              <c16:uniqueId val="{00000001-524E-4C3B-9057-FA7655BDE88B}"/>
            </c:ext>
          </c:extLst>
        </c:ser>
        <c:dLbls>
          <c:showLegendKey val="0"/>
          <c:showVal val="0"/>
          <c:showCatName val="0"/>
          <c:showSerName val="0"/>
          <c:showPercent val="0"/>
          <c:showBubbleSize val="0"/>
        </c:dLbls>
        <c:marker val="1"/>
        <c:smooth val="0"/>
        <c:axId val="467063535"/>
        <c:axId val="467064783"/>
      </c:lineChart>
      <c:catAx>
        <c:axId val="4001770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576018079"/>
        <c:crosses val="autoZero"/>
        <c:auto val="1"/>
        <c:lblAlgn val="ctr"/>
        <c:lblOffset val="100"/>
        <c:noMultiLvlLbl val="0"/>
      </c:catAx>
      <c:valAx>
        <c:axId val="576018079"/>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400177087"/>
        <c:crosses val="autoZero"/>
        <c:crossBetween val="between"/>
        <c:majorUnit val="20"/>
      </c:valAx>
      <c:valAx>
        <c:axId val="467064783"/>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467063535"/>
        <c:crosses val="max"/>
        <c:crossBetween val="between"/>
      </c:valAx>
      <c:catAx>
        <c:axId val="467063535"/>
        <c:scaling>
          <c:orientation val="minMax"/>
        </c:scaling>
        <c:delete val="1"/>
        <c:axPos val="b"/>
        <c:numFmt formatCode="General" sourceLinked="1"/>
        <c:majorTickMark val="out"/>
        <c:minorTickMark val="none"/>
        <c:tickLblPos val="nextTo"/>
        <c:crossAx val="467064783"/>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D83B98-FB26-42B2-8F0D-BD30A482B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1363</Words>
  <Characters>7772</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AsusN15</cp:lastModifiedBy>
  <cp:revision>42</cp:revision>
  <cp:lastPrinted>2019-09-02T11:32:00Z</cp:lastPrinted>
  <dcterms:created xsi:type="dcterms:W3CDTF">2019-03-12T13:24:00Z</dcterms:created>
  <dcterms:modified xsi:type="dcterms:W3CDTF">2019-09-02T13:10:00Z</dcterms:modified>
</cp:coreProperties>
</file>